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Kuwait</w:t>
      </w:r>
      <w:r>
        <w:t xml:space="preserve"> </w:t>
      </w:r>
      <w:r>
        <w:t xml:space="preserve">City</w:t>
      </w:r>
      <w:r>
        <w:t xml:space="preserve"> </w:t>
      </w:r>
      <w:r>
        <w:t xml:space="preserve">Market</w:t>
      </w:r>
    </w:p>
    <w:bookmarkStart w:id="28" w:name="X9d046ec8285a18ee1ed8e576f8a8933c8c11d1f"/>
    <w:p>
      <w:pPr>
        <w:pStyle w:val="Heading1"/>
      </w:pPr>
      <w:r>
        <w:t xml:space="preserve">Research Proposal: The Evolving Role and Market Demand for a Professional Graphic Designer in Kuwait City, Kuwait</w:t>
      </w:r>
    </w:p>
    <w:bookmarkStart w:id="20" w:name="introduction"/>
    <w:p>
      <w:pPr>
        <w:pStyle w:val="Heading2"/>
      </w:pPr>
      <w:r>
        <w:t xml:space="preserve">Introduction</w:t>
      </w:r>
    </w:p>
    <w:p>
      <w:pPr>
        <w:pStyle w:val="FirstParagraph"/>
      </w:pPr>
      <w:r>
        <w:t xml:space="preserve">The visual communication landscape of Kuwait City has undergone remarkable transformation in recent years, driven by digitalization, cultural preservation initiatives, and ambitious urban development projects. As the capital city of the State of Kuwait and a pivotal economic hub in the Gulf Cooperation Council (GCC), Kuwait City demands sophisticated graphic design solutions that harmonize modern aesthetics with deep-rooted Arab heritage. This</w:t>
      </w:r>
      <w:r>
        <w:t xml:space="preserve"> </w:t>
      </w:r>
      <w:r>
        <w:rPr>
          <w:bCs/>
          <w:b/>
        </w:rPr>
        <w:t xml:space="preserve">Research Proposal</w:t>
      </w:r>
      <w:r>
        <w:t xml:space="preserve"> </w:t>
      </w:r>
      <w:r>
        <w:t xml:space="preserve">investigates the critical role of a professional</w:t>
      </w:r>
      <w:r>
        <w:t xml:space="preserve"> </w:t>
      </w:r>
      <w:r>
        <w:rPr>
          <w:bCs/>
          <w:b/>
        </w:rPr>
        <w:t xml:space="preserve">Graphic Designer</w:t>
      </w:r>
      <w:r>
        <w:t xml:space="preserve"> </w:t>
      </w:r>
      <w:r>
        <w:t xml:space="preserve">within Kuwait's evolving creative ecosystem, specifically analyzing market needs, cultural contexts, and future opportunities in</w:t>
      </w:r>
      <w:r>
        <w:t xml:space="preserve"> </w:t>
      </w:r>
      <w:r>
        <w:rPr>
          <w:bCs/>
          <w:b/>
        </w:rPr>
        <w:t xml:space="preserve">Kuwait Kuwait City</w:t>
      </w:r>
      <w:r>
        <w:t xml:space="preserve">. With the government's Vision 2035 prioritizing knowledge-based industries and tourism growth (notably through projects like the Kuwait Cultural District), understanding the graphic design profession has become strategically imperative.</w:t>
      </w:r>
    </w:p>
    <w:bookmarkEnd w:id="20"/>
    <w:bookmarkStart w:id="21" w:name="problem-statement"/>
    <w:p>
      <w:pPr>
        <w:pStyle w:val="Heading2"/>
      </w:pPr>
      <w:r>
        <w:t xml:space="preserve">Problem Statement</w:t>
      </w:r>
    </w:p>
    <w:p>
      <w:pPr>
        <w:pStyle w:val="FirstParagraph"/>
      </w:pPr>
      <w:r>
        <w:t xml:space="preserve">Despite Kuwait City's rapid development, a significant gap exists in systematic research on the contemporary requirements of graphic designers operating within this unique market. Current industry practices often rely on generic international standards rather than locally contextualized approaches. This disconnect manifests in two critical areas: First, many design agencies and corporate entities struggle to integrate authentic Kuwaiti cultural narratives into branding for global audiences, leading to superficial or culturally insensitive outputs. Second, there is a lack of standardized career frameworks for</w:t>
      </w:r>
      <w:r>
        <w:t xml:space="preserve"> </w:t>
      </w:r>
      <w:r>
        <w:rPr>
          <w:bCs/>
          <w:b/>
        </w:rPr>
        <w:t xml:space="preserve">Graphic Designer</w:t>
      </w:r>
      <w:r>
        <w:t xml:space="preserve">s in</w:t>
      </w:r>
      <w:r>
        <w:t xml:space="preserve"> </w:t>
      </w:r>
      <w:r>
        <w:rPr>
          <w:bCs/>
          <w:b/>
        </w:rPr>
        <w:t xml:space="preserve">Kuwait Kuwait City</w:t>
      </w:r>
      <w:r>
        <w:t xml:space="preserve">, resulting in inconsistent professional development pathways and undervaluation of specialized skills. Without targeted research, the creative sector cannot fully leverage its potential to support national branding initiatives or attract international investment.</w:t>
      </w:r>
    </w:p>
    <w:bookmarkEnd w:id="21"/>
    <w:bookmarkStart w:id="22" w:name="research-objectives"/>
    <w:p>
      <w:pPr>
        <w:pStyle w:val="Heading2"/>
      </w:pPr>
      <w:r>
        <w:t xml:space="preserve">Research Objectives</w:t>
      </w:r>
    </w:p>
    <w:p>
      <w:pPr>
        <w:numPr>
          <w:ilvl w:val="0"/>
          <w:numId w:val="1001"/>
        </w:numPr>
        <w:pStyle w:val="Compact"/>
      </w:pPr>
      <w:r>
        <w:t xml:space="preserve">To map the current demand drivers for specialized graphic design services across key sectors (government, tourism, retail, and digital media) in Kuwait City.</w:t>
      </w:r>
    </w:p>
    <w:p>
      <w:pPr>
        <w:numPr>
          <w:ilvl w:val="0"/>
          <w:numId w:val="1001"/>
        </w:numPr>
        <w:pStyle w:val="Compact"/>
      </w:pPr>
      <w:r>
        <w:t xml:space="preserve">To analyze how cultural identity and local traditions uniquely shape design expectations within Kuwaiti society compared to global standards.</w:t>
      </w:r>
    </w:p>
    <w:p>
      <w:pPr>
        <w:numPr>
          <w:ilvl w:val="0"/>
          <w:numId w:val="1001"/>
        </w:numPr>
        <w:pStyle w:val="Compact"/>
      </w:pPr>
      <w:r>
        <w:t xml:space="preserve">To identify critical skill gaps among existing graphic designers operating in Kuwait City through stakeholder interviews.</w:t>
      </w:r>
    </w:p>
    <w:p>
      <w:pPr>
        <w:numPr>
          <w:ilvl w:val="0"/>
          <w:numId w:val="1001"/>
        </w:numPr>
        <w:pStyle w:val="Compact"/>
      </w:pPr>
      <w:r>
        <w:t xml:space="preserve">To develop a culturally responsive competency framework for professional graphic designers serving the Kuwait City market.</w:t>
      </w:r>
    </w:p>
    <w:bookmarkEnd w:id="22"/>
    <w:bookmarkStart w:id="23" w:name="literature-review-contextual-framework"/>
    <w:p>
      <w:pPr>
        <w:pStyle w:val="Heading2"/>
      </w:pPr>
      <w:r>
        <w:t xml:space="preserve">Literature Review (Contextual Framework)</w:t>
      </w:r>
    </w:p>
    <w:p>
      <w:pPr>
        <w:pStyle w:val="FirstParagraph"/>
      </w:pPr>
      <w:r>
        <w:t xml:space="preserve">Existing literature on Gulf design markets often generalizes across the GCC region, neglecting Kuwait's distinct socio-cultural nuances. Studies by Al-Siyabi (2021) on Arab branding acknowledge the importance of heritage but lack Kuwait-specific case studies. Meanwhile, tourism research (Kuwait Ministry of Tourism, 2023) emphasizes visual storytelling for cultural promotion yet overlooks design execution challenges. Crucially, no academic work has examined how a</w:t>
      </w:r>
      <w:r>
        <w:t xml:space="preserve"> </w:t>
      </w:r>
      <w:r>
        <w:rPr>
          <w:bCs/>
          <w:b/>
        </w:rPr>
        <w:t xml:space="preserve">Graphic Designer</w:t>
      </w:r>
      <w:r>
        <w:t xml:space="preserve"> </w:t>
      </w:r>
      <w:r>
        <w:t xml:space="preserve">navigates the tension between global digital trends and Kuwaiti cultural expectations within</w:t>
      </w:r>
      <w:r>
        <w:t xml:space="preserve"> </w:t>
      </w:r>
      <w:r>
        <w:rPr>
          <w:bCs/>
          <w:b/>
        </w:rPr>
        <w:t xml:space="preserve">Kuwait Kuwait City</w:t>
      </w:r>
      <w:r>
        <w:t xml:space="preserve">. This research bridges that gap by grounding methodology in local context, moving beyond surface-level "Arab design" tropes to explore authentic integration of elements like Islamic geometry, Kuwaiti motifs (e.g., traditional souq patterns), and modern Arabic typography in commercial applications.</w:t>
      </w:r>
    </w:p>
    <w:bookmarkEnd w:id="23"/>
    <w:bookmarkStart w:id="24" w:name="methodology"/>
    <w:p>
      <w:pPr>
        <w:pStyle w:val="Heading2"/>
      </w:pPr>
      <w:r>
        <w:t xml:space="preserve">Methodology</w:t>
      </w:r>
    </w:p>
    <w:p>
      <w:pPr>
        <w:pStyle w:val="FirstParagraph"/>
      </w:pPr>
      <w:r>
        <w:t xml:space="preserve">This mixed-methods research employs three interconnected phases over 10 months:</w:t>
      </w:r>
    </w:p>
    <w:p>
      <w:pPr>
        <w:numPr>
          <w:ilvl w:val="0"/>
          <w:numId w:val="1002"/>
        </w:numPr>
        <w:pStyle w:val="Compact"/>
      </w:pPr>
      <w:r>
        <w:rPr>
          <w:bCs/>
          <w:b/>
        </w:rPr>
        <w:t xml:space="preserve">Quantitative Analysis:</w:t>
      </w:r>
      <w:r>
        <w:t xml:space="preserve"> </w:t>
      </w:r>
      <w:r>
        <w:t xml:space="preserve">Survey of 150+ design agencies, government communication departments (including the Ministry of Information and Culture), and multinational corporations operating in Kuwait City to quantify demand patterns, budget allocations for design services, and perceived skill shortages.</w:t>
      </w:r>
    </w:p>
    <w:p>
      <w:pPr>
        <w:numPr>
          <w:ilvl w:val="0"/>
          <w:numId w:val="1002"/>
        </w:numPr>
        <w:pStyle w:val="Compact"/>
      </w:pPr>
      <w:r>
        <w:rPr>
          <w:bCs/>
          <w:b/>
        </w:rPr>
        <w:t xml:space="preserve">Cultural Contextualization:</w:t>
      </w:r>
      <w:r>
        <w:t xml:space="preserve"> </w:t>
      </w:r>
      <w:r>
        <w:t xml:space="preserve">In-depth interviews with 30 industry stakeholders including senior graphic designers (both locally trained and expatriate), cultural consultants (e.g., from the National Museum of Kuwait), and marketing heads at major Kuwaiti brands (e.g., Alghanim Industries, Zain). Focus on understanding "what constitutes culturally appropriate design" in local contexts.</w:t>
      </w:r>
    </w:p>
    <w:p>
      <w:pPr>
        <w:numPr>
          <w:ilvl w:val="0"/>
          <w:numId w:val="1002"/>
        </w:numPr>
        <w:pStyle w:val="Compact"/>
      </w:pPr>
      <w:r>
        <w:rPr>
          <w:bCs/>
          <w:b/>
        </w:rPr>
        <w:t xml:space="preserve">Competency Mapping:</w:t>
      </w:r>
      <w:r>
        <w:t xml:space="preserve"> </w:t>
      </w:r>
      <w:r>
        <w:t xml:space="preserve">Workshops with design educators (Kuwait University, Arab Academy) to co-develop a framework defining essential competencies for graphic designers in Kuwait City – including technical skills (e.g., Arabic typography software proficiency), cultural fluency, and knowledge of national branding guidelines.</w:t>
      </w:r>
    </w:p>
    <w:p>
      <w:pPr>
        <w:pStyle w:val="FirstParagraph"/>
      </w:pPr>
      <w:r>
        <w:t xml:space="preserve">Data triangulation will ensure findings reflect both market realities and cultural imperatives specific to</w:t>
      </w:r>
      <w:r>
        <w:t xml:space="preserve"> </w:t>
      </w:r>
      <w:r>
        <w:rPr>
          <w:bCs/>
          <w:b/>
        </w:rPr>
        <w:t xml:space="preserve">Kuwait Kuwait City</w:t>
      </w:r>
      <w:r>
        <w:t xml:space="preserve">.</w:t>
      </w:r>
    </w:p>
    <w:bookmarkEnd w:id="24"/>
    <w:bookmarkStart w:id="25" w:name="expected-outcomes-significance"/>
    <w:p>
      <w:pPr>
        <w:pStyle w:val="Heading2"/>
      </w:pPr>
      <w:r>
        <w:t xml:space="preserve">Expected Outcomes &amp; Significance</w:t>
      </w:r>
    </w:p>
    <w:p>
      <w:pPr>
        <w:pStyle w:val="FirstParagraph"/>
      </w:pPr>
      <w:r>
        <w:t xml:space="preserve">This research will produce a definitive roadmap for the graphic design profession in Kuwait City. The primary deliverable is a culturally attuned competency framework titled "</w:t>
      </w:r>
      <w:r>
        <w:rPr>
          <w:iCs/>
          <w:i/>
        </w:rPr>
        <w:t xml:space="preserve">Graphic Designer Profile for Kuwaiti Context: A Guide to Authentic Visual Storytelling</w:t>
      </w:r>
      <w:r>
        <w:t xml:space="preserve">". This will directly address the identified skill gaps by:</w:t>
      </w:r>
    </w:p>
    <w:p>
      <w:pPr>
        <w:numPr>
          <w:ilvl w:val="0"/>
          <w:numId w:val="1003"/>
        </w:numPr>
        <w:pStyle w:val="Compact"/>
      </w:pPr>
      <w:r>
        <w:t xml:space="preserve">Defining specialized technical requirements (e.g., mastering Arabic script in digital media for local audiences).</w:t>
      </w:r>
    </w:p>
    <w:p>
      <w:pPr>
        <w:numPr>
          <w:ilvl w:val="0"/>
          <w:numId w:val="1003"/>
        </w:numPr>
        <w:pStyle w:val="Compact"/>
      </w:pPr>
      <w:r>
        <w:t xml:space="preserve">Establishing protocols for integrating Kuwaiti cultural elements without tokenism.</w:t>
      </w:r>
    </w:p>
    <w:p>
      <w:pPr>
        <w:numPr>
          <w:ilvl w:val="0"/>
          <w:numId w:val="1003"/>
        </w:numPr>
        <w:pStyle w:val="Compact"/>
      </w:pPr>
      <w:r>
        <w:t xml:space="preserve">Providing evidence-based recommendations for educational curricula at local design institutions.</w:t>
      </w:r>
    </w:p>
    <w:p>
      <w:pPr>
        <w:pStyle w:val="FirstParagraph"/>
      </w:pPr>
      <w:r>
        <w:t xml:space="preserve">The significance extends beyond individual professionals. For organizations in</w:t>
      </w:r>
      <w:r>
        <w:t xml:space="preserve"> </w:t>
      </w:r>
      <w:r>
        <w:rPr>
          <w:bCs/>
          <w:b/>
        </w:rPr>
        <w:t xml:space="preserve">Kuwait Kuwait City</w:t>
      </w:r>
      <w:r>
        <w:t xml:space="preserve">, this research will enable them to: (1) Develop more effective visual branding that resonates with both domestic and international audiences, (2) Attract top-tier design talent by understanding their specific needs, and (3) Contribute meaningfully to national initiatives like the "Kuwait Cultural District" through visually cohesive public spaces. For policymakers, findings will inform the National Creative Industries Strategy under Vision 2035.</w:t>
      </w:r>
    </w:p>
    <w:bookmarkEnd w:id="25"/>
    <w:bookmarkStart w:id="26" w:name="timeline-budget"/>
    <w:p>
      <w:pPr>
        <w:pStyle w:val="Heading2"/>
      </w:pPr>
      <w:r>
        <w:t xml:space="preserve">Timeline &amp; Budget</w:t>
      </w:r>
    </w:p>
    <w:p>
      <w:pPr>
        <w:pStyle w:val="FirstParagraph"/>
      </w:pPr>
      <w:r>
        <w:rPr>
          <w:bCs/>
          <w:b/>
        </w:rPr>
        <w:t xml:space="preserve">Month 1-2:</w:t>
      </w:r>
      <w:r>
        <w:t xml:space="preserve"> </w:t>
      </w:r>
      <w:r>
        <w:t xml:space="preserve">Literature review and instrument design (surveys/interview guides).</w:t>
      </w:r>
      <w:r>
        <w:br/>
      </w:r>
      <w:r>
        <w:rPr>
          <w:bCs/>
          <w:b/>
        </w:rPr>
        <w:t xml:space="preserve">Month 3-5:</w:t>
      </w:r>
      <w:r>
        <w:t xml:space="preserve"> </w:t>
      </w:r>
      <w:r>
        <w:t xml:space="preserve">Quantitative survey deployment and data collection.</w:t>
      </w:r>
      <w:r>
        <w:br/>
      </w:r>
      <w:r>
        <w:rPr>
          <w:bCs/>
          <w:b/>
        </w:rPr>
        <w:t xml:space="preserve">Month 6-7:</w:t>
      </w:r>
      <w:r>
        <w:t xml:space="preserve"> </w:t>
      </w:r>
      <w:r>
        <w:t xml:space="preserve">Stakeholder interviews and workshop facilitation.</w:t>
      </w:r>
      <w:r>
        <w:br/>
      </w:r>
      <w:r>
        <w:rPr>
          <w:bCs/>
          <w:b/>
        </w:rPr>
        <w:t xml:space="preserve">Month 8-9:</w:t>
      </w:r>
      <w:r>
        <w:t xml:space="preserve"> </w:t>
      </w:r>
      <w:r>
        <w:t xml:space="preserve">Data analysis and framework development.</w:t>
      </w:r>
      <w:r>
        <w:br/>
      </w:r>
      <w:r>
        <w:rPr>
          <w:bCs/>
          <w:b/>
        </w:rPr>
        <w:t xml:space="preserve">Month 10:</w:t>
      </w:r>
      <w:r>
        <w:t xml:space="preserve"> </w:t>
      </w:r>
      <w:r>
        <w:t xml:space="preserve">Final report drafting, stakeholder validation sessions in Kuwait City.</w:t>
      </w:r>
    </w:p>
    <w:p>
      <w:pPr>
        <w:pStyle w:val="BodyText"/>
      </w:pPr>
      <w:r>
        <w:t xml:space="preserve">Budget allocation prioritizes local fieldwork (70%) to ensure authentic cultural engagement. Key costs include: researcher travel within Kuwait City, translator services for Arabic-English interviews, and honoraria for participating cultural consultants. The total budget of $25,000 is justified by the high strategic value this</w:t>
      </w:r>
      <w:r>
        <w:t xml:space="preserve"> </w:t>
      </w:r>
      <w:r>
        <w:rPr>
          <w:bCs/>
          <w:b/>
        </w:rPr>
        <w:t xml:space="preserve">Research Proposal</w:t>
      </w:r>
      <w:r>
        <w:t xml:space="preserve"> </w:t>
      </w:r>
      <w:r>
        <w:t xml:space="preserve">holds for positioning Kuwait City as a leader in culturally intelligent design within the Gulf.</w:t>
      </w:r>
    </w:p>
    <w:bookmarkEnd w:id="26"/>
    <w:bookmarkStart w:id="27" w:name="conclusion"/>
    <w:p>
      <w:pPr>
        <w:pStyle w:val="Heading2"/>
      </w:pPr>
      <w:r>
        <w:t xml:space="preserve">Conclusion</w:t>
      </w:r>
    </w:p>
    <w:p>
      <w:pPr>
        <w:pStyle w:val="FirstParagraph"/>
      </w:pPr>
      <w:r>
        <w:t xml:space="preserve">The role of the graphic designer in</w:t>
      </w:r>
      <w:r>
        <w:t xml:space="preserve"> </w:t>
      </w:r>
      <w:r>
        <w:rPr>
          <w:bCs/>
          <w:b/>
        </w:rPr>
        <w:t xml:space="preserve">Kuwait Kuwait City</w:t>
      </w:r>
      <w:r>
        <w:t xml:space="preserve"> </w:t>
      </w:r>
      <w:r>
        <w:t xml:space="preserve">transcends mere visual execution; it is pivotal to crafting the nation's modern identity on global stages. This</w:t>
      </w:r>
      <w:r>
        <w:t xml:space="preserve"> </w:t>
      </w:r>
      <w:r>
        <w:rPr>
          <w:bCs/>
          <w:b/>
        </w:rPr>
        <w:t xml:space="preserve">Research Proposal</w:t>
      </w:r>
      <w:r>
        <w:t xml:space="preserve"> </w:t>
      </w:r>
      <w:r>
        <w:t xml:space="preserve">responds to an urgent need for context-specific insights that will empower designers, businesses, and policymakers alike. By moving beyond generic design practices to embrace Kuwait’s unique cultural tapestry, this research will establish a new benchmark for professional graphic design in the region. The outcomes will directly support Kuwait City's trajectory as a vibrant, culturally rich destination where visual storytelling becomes a catalyst for economic diversification and national pride. Ultimately, this</w:t>
      </w:r>
      <w:r>
        <w:t xml:space="preserve"> </w:t>
      </w:r>
      <w:r>
        <w:rPr>
          <w:bCs/>
          <w:b/>
        </w:rPr>
        <w:t xml:space="preserve">Research Proposal</w:t>
      </w:r>
      <w:r>
        <w:t xml:space="preserve"> </w:t>
      </w:r>
      <w:r>
        <w:t xml:space="preserve">asserts that investing in understanding the nuanced demands of the</w:t>
      </w:r>
      <w:r>
        <w:t xml:space="preserve"> </w:t>
      </w:r>
      <w:r>
        <w:rPr>
          <w:bCs/>
          <w:b/>
        </w:rPr>
        <w:t xml:space="preserve">Graphic Designer</w:t>
      </w:r>
      <w:r>
        <w:t xml:space="preserve"> </w:t>
      </w:r>
      <w:r>
        <w:t xml:space="preserve">role is not merely advantageous—it is essential to securing Kuwait’s creative future within</w:t>
      </w:r>
      <w:r>
        <w:t xml:space="preserve"> </w:t>
      </w:r>
      <w:r>
        <w:rPr>
          <w:bCs/>
          <w:b/>
        </w:rPr>
        <w:t xml:space="preserve">Kuwait Kuwait City</w:t>
      </w:r>
      <w:r>
        <w:t xml:space="preserve">.</w:t>
      </w:r>
    </w:p>
    <w:p>
      <w:pPr>
        <w:pStyle w:val="BodyText"/>
      </w:pPr>
      <w:r>
        <w:rPr>
          <w:iCs/>
          <w:i/>
        </w:rPr>
        <w:t xml:space="preserve">This document constitutes a formal Research Proposal submitted for funding consideration by the Ministry of Information, State of Kuwait, and relevant educational institutions in Kuwait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Role in Kuwait City Market</dc:title>
  <dc:creator/>
  <dc:language>en</dc:language>
  <cp:keywords/>
  <dcterms:created xsi:type="dcterms:W3CDTF">2026-07-24T09:42:19Z</dcterms:created>
  <dcterms:modified xsi:type="dcterms:W3CDTF">2026-07-24T09:42:19Z</dcterms:modified>
</cp:coreProperties>
</file>

<file path=docProps/custom.xml><?xml version="1.0" encoding="utf-8"?>
<Properties xmlns="http://schemas.openxmlformats.org/officeDocument/2006/custom-properties" xmlns:vt="http://schemas.openxmlformats.org/officeDocument/2006/docPropsVTypes"/>
</file>