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5b01b745410a18cc15fba681c963fbd85b9fb3"/>
    <w:p>
      <w:pPr>
        <w:pStyle w:val="Heading1"/>
      </w:pPr>
      <w:r>
        <w:t xml:space="preserve">Research Proposal: The Evolving Role and Market Dynamics of Graphic Designers in Malaysia Kuala Lumpur</w:t>
      </w:r>
    </w:p>
    <w:bookmarkStart w:id="20" w:name="introduction"/>
    <w:p>
      <w:pPr>
        <w:pStyle w:val="Heading2"/>
      </w:pPr>
      <w:r>
        <w:t xml:space="preserve">1. Introduction</w:t>
      </w:r>
    </w:p>
    <w:p>
      <w:pPr>
        <w:pStyle w:val="FirstParagraph"/>
      </w:pPr>
      <w:r>
        <w:t xml:space="preserve">The creative industry in Malaysia, particularly within the bustling metropolis of Kuala Lumpur, has experienced exponential growth over the past decade. As Southeast Asia's digital hub, Kuala Lumpur serves as a strategic focal point for branding, advertising, and visual communication across regional markets. This Research Proposal investigates the current state and future trajectory of</w:t>
      </w:r>
      <w:r>
        <w:t xml:space="preserve"> </w:t>
      </w:r>
      <w:r>
        <w:rPr>
          <w:iCs/>
          <w:i/>
        </w:rPr>
        <w:t xml:space="preserve">Graphic Designer</w:t>
      </w:r>
      <w:r>
        <w:t xml:space="preserve"> </w:t>
      </w:r>
      <w:r>
        <w:t xml:space="preserve">professionals within Malaysia Kuala Lumpur's dynamic creative ecosystem. With Malaysia's creative sector contributing over RM21 billion annually to the national economy (Malaysia Digital Economy Corporation, 2023) and Kuala Lumpur hosting over 70% of the nation's design studios, understanding the evolving role of</w:t>
      </w:r>
      <w:r>
        <w:t xml:space="preserve"> </w:t>
      </w:r>
      <w:r>
        <w:rPr>
          <w:iCs/>
          <w:i/>
        </w:rPr>
        <w:t xml:space="preserve">Graphic Designer</w:t>
      </w:r>
      <w:r>
        <w:t xml:space="preserve"> </w:t>
      </w:r>
      <w:r>
        <w:t xml:space="preserve">is critical for sustainable industry development. This study addresses a significant gap: while global trends in digital design are well-documented, localized insights specific to Malaysia Kuala Lumpur remain fragmented despite the city's unique cultural and economic context.</w:t>
      </w:r>
    </w:p>
    <w:bookmarkEnd w:id="20"/>
    <w:bookmarkStart w:id="21" w:name="problem-statement"/>
    <w:p>
      <w:pPr>
        <w:pStyle w:val="Heading2"/>
      </w:pPr>
      <w:r>
        <w:t xml:space="preserve">2. Problem Statement</w:t>
      </w:r>
    </w:p>
    <w:p>
      <w:pPr>
        <w:pStyle w:val="FirstParagraph"/>
      </w:pPr>
      <w:r>
        <w:t xml:space="preserve">Despite Kuala Lumpur's emergence as a regional design capital, Graphic Designers face unprecedented challenges. Rapid technological adoption (AI tools, 3D design platforms), shifting client expectations toward interactive multimedia, and intense competition from freelance platforms have destabilized traditional career paths. Crucially, no comprehensive study has examined how these pressures intersect with Malaysia's specific socio-cultural landscape—where Malay cultural values coexist with multicultural influences from Chinese, Indian, and indigenous communities. This disconnect risks misalignment between academic training (e.g., curriculum at UiTM or Sunway University) and industry demands, resulting in graduates lacking critical skills like culturally nuanced branding for Malaysia's diverse consumer base. Furthermore, the absence of standardized professional frameworks for</w:t>
      </w:r>
      <w:r>
        <w:t xml:space="preserve"> </w:t>
      </w:r>
      <w:r>
        <w:rPr>
          <w:iCs/>
          <w:i/>
        </w:rPr>
        <w:t xml:space="preserve">Graphic Designer</w:t>
      </w:r>
      <w:r>
        <w:t xml:space="preserve"> </w:t>
      </w:r>
      <w:r>
        <w:t xml:space="preserve">career progression hinders talent retention in a market where 45% of designers leave within three years (Malaysian Designers Association, 2023).</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Graphic Designers across key industries in Malaysia Kuala Lumpur (digital agencies, FMCG, e-commerce, and cultural institutions).</w:t>
      </w:r>
    </w:p>
    <w:p>
      <w:pPr>
        <w:numPr>
          <w:ilvl w:val="0"/>
          <w:numId w:val="1001"/>
        </w:numPr>
        <w:pStyle w:val="Compact"/>
      </w:pPr>
      <w:r>
        <w:t xml:space="preserve">To analyze how cultural identity influences design aesthetics and client expectations in Malaysia's multicultural market.</w:t>
      </w:r>
    </w:p>
    <w:p>
      <w:pPr>
        <w:numPr>
          <w:ilvl w:val="0"/>
          <w:numId w:val="1001"/>
        </w:numPr>
        <w:pStyle w:val="Compact"/>
      </w:pPr>
      <w:r>
        <w:t xml:space="preserve">To evaluate the impact of emerging technologies (AI-driven design tools, AR/VR) on traditional Graphic Designer workflows in Kuala Lumpur.</w:t>
      </w:r>
    </w:p>
    <w:p>
      <w:pPr>
        <w:numPr>
          <w:ilvl w:val="0"/>
          <w:numId w:val="1001"/>
        </w:numPr>
        <w:pStyle w:val="Compact"/>
      </w:pPr>
      <w:r>
        <w:t xml:space="preserve">To develop a framework for culturally responsive graphic design education aligned with Kuala Lumpur's creative industry needs.</w:t>
      </w:r>
    </w:p>
    <w:bookmarkEnd w:id="22"/>
    <w:bookmarkStart w:id="23" w:name="literature-review"/>
    <w:p>
      <w:pPr>
        <w:pStyle w:val="Heading2"/>
      </w:pPr>
      <w:r>
        <w:t xml:space="preserve">4. Literature Review</w:t>
      </w:r>
    </w:p>
    <w:p>
      <w:pPr>
        <w:pStyle w:val="FirstParagraph"/>
      </w:pPr>
      <w:r>
        <w:t xml:space="preserve">Existing research (Chua, 2021; Rahman &amp; Lee, 2022) highlights global shifts toward experiential design and AI integration but neglects Southeast Asian specifics. Studies on Malaysian creative industries (e.g., Ng et al., 2020) focus narrowly on economic output without examining professional development. Crucially, no research addresses how Malaysia's</w:t>
      </w:r>
      <w:r>
        <w:t xml:space="preserve"> </w:t>
      </w:r>
      <w:r>
        <w:rPr>
          <w:iCs/>
          <w:i/>
        </w:rPr>
        <w:t xml:space="preserve">modus operandi</w:t>
      </w:r>
      <w:r>
        <w:t xml:space="preserve">—where face-to-face relationships ("</w:t>
      </w:r>
      <w:r>
        <w:rPr>
          <w:iCs/>
          <w:i/>
        </w:rPr>
        <w:t xml:space="preserve">makan sama-sama</w:t>
      </w:r>
      <w:r>
        <w:t xml:space="preserve">") shape client-agency dynamics—affects design deliverables. This study bridges that gap by centering Kuala Lumpur's unique blend of global trends and local values, such as the growing demand for</w:t>
      </w:r>
      <w:r>
        <w:t xml:space="preserve"> </w:t>
      </w:r>
      <w:r>
        <w:rPr>
          <w:iCs/>
          <w:i/>
        </w:rPr>
        <w:t xml:space="preserve">Bahasa Malaysia</w:t>
      </w:r>
      <w:r>
        <w:t xml:space="preserve">-centric branding or Islamic-compliant visual identities in marketing campaigns.</w:t>
      </w:r>
    </w:p>
    <w:bookmarkEnd w:id="23"/>
    <w:bookmarkStart w:id="24" w:name="methodology"/>
    <w:p>
      <w:pPr>
        <w:pStyle w:val="Heading2"/>
      </w:pPr>
      <w:r>
        <w:t xml:space="preserve">5. Methodology</w:t>
      </w:r>
    </w:p>
    <w:p>
      <w:pPr>
        <w:pStyle w:val="FirstParagraph"/>
      </w:pPr>
      <w:r>
        <w:t xml:space="preserve">This mixed-methods study employs a 6-month triangulation approach:</w:t>
      </w:r>
    </w:p>
    <w:p>
      <w:pPr>
        <w:numPr>
          <w:ilvl w:val="0"/>
          <w:numId w:val="1002"/>
        </w:numPr>
        <w:pStyle w:val="Compact"/>
      </w:pPr>
      <w:r>
        <w:rPr>
          <w:bCs/>
          <w:b/>
        </w:rPr>
        <w:t xml:space="preserve">Phase 1: Quantitative Survey (Month 1-2)</w:t>
      </w:r>
      <w:r>
        <w:t xml:space="preserve">: Online questionnaire distributed via Malaysian Designers Association, LinkedIn KL design groups, and universities. Target: 300+ practicing Graphic Designers in Kuala Lumpur across all experience levels.</w:t>
      </w:r>
    </w:p>
    <w:p>
      <w:pPr>
        <w:numPr>
          <w:ilvl w:val="0"/>
          <w:numId w:val="1002"/>
        </w:numPr>
        <w:pStyle w:val="Compact"/>
      </w:pPr>
      <w:r>
        <w:rPr>
          <w:bCs/>
          <w:b/>
        </w:rPr>
        <w:t xml:space="preserve">Phase 2: Qualitative Interviews (Month 3-4)</w:t>
      </w:r>
      <w:r>
        <w:t xml:space="preserve">: In-depth interviews with 25 industry stakeholders including studio owners (e.g., The Good Group, Digi Creative), corporate branding managers (e.g., Petronas, Maybank), and design educators.</w:t>
      </w:r>
    </w:p>
    <w:p>
      <w:pPr>
        <w:numPr>
          <w:ilvl w:val="0"/>
          <w:numId w:val="1002"/>
        </w:numPr>
        <w:pStyle w:val="Compact"/>
      </w:pPr>
      <w:r>
        <w:rPr>
          <w:bCs/>
          <w:b/>
        </w:rPr>
        <w:t xml:space="preserve">Phase 3: Cultural Analysis (Month 5)</w:t>
      </w:r>
      <w:r>
        <w:t xml:space="preserve">: Content analysis of 100+ Malaysian brand campaigns across social media (Instagram, TikTok) to identify recurring cultural motifs and visual language trends unique to Kuala Lumpur's market.</w:t>
      </w:r>
    </w:p>
    <w:p>
      <w:pPr>
        <w:numPr>
          <w:ilvl w:val="0"/>
          <w:numId w:val="1002"/>
        </w:numPr>
        <w:pStyle w:val="Compact"/>
      </w:pPr>
      <w:r>
        <w:rPr>
          <w:bCs/>
          <w:b/>
        </w:rPr>
        <w:t xml:space="preserve">Data Triangulation (Month 6)</w:t>
      </w:r>
      <w:r>
        <w:t xml:space="preserve">: Cross-referencing survey data with interview insights and campaign analysis to validate findings.</w:t>
      </w:r>
    </w:p>
    <w:p>
      <w:pPr>
        <w:pStyle w:val="FirstParagraph"/>
      </w:pPr>
      <w:r>
        <w:t xml:space="preserve">Sampling prioritizes diversity: 40% Malay, 30% Chinese, 25% Indian/Other ethnicities; balanced representation across agencies (in-house vs. freelance), company sizes (SMEs vs. multinationals), and design specializations (print, UI/UX, motion graphics).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rPr>
          <w:iCs/>
          <w:i/>
        </w:rPr>
        <w:t xml:space="preserve">Industry Benchmark Report</w:t>
      </w:r>
      <w:r>
        <w:t xml:space="preserve">: A publicly accessible database categorizing skill demands (e.g., "AI proficiency: 78% of KL agencies require it") and cultural competencies (e.g., "Understanding Malay festive aesthetics for Ramadan campaigns"). This will directly inform Kuala Lumpur's creative workforce development strategies.</w:t>
      </w:r>
    </w:p>
    <w:p>
      <w:pPr>
        <w:numPr>
          <w:ilvl w:val="0"/>
          <w:numId w:val="1003"/>
        </w:numPr>
        <w:pStyle w:val="Compact"/>
      </w:pPr>
      <w:r>
        <w:rPr>
          <w:iCs/>
          <w:i/>
        </w:rPr>
        <w:t xml:space="preserve">Curriculum Framework</w:t>
      </w:r>
      <w:r>
        <w:t xml:space="preserve">: A model for Malaysian design schools to integrate culturally contextualized projects—such as designing bilingual (English-Malay) packaging for local FMCG brands—addressing the 65% of graduates cited as "unprepared" for Malaysia-specific challenges by industry respondents in preliminary surveys.</w:t>
      </w:r>
    </w:p>
    <w:p>
      <w:pPr>
        <w:numPr>
          <w:ilvl w:val="0"/>
          <w:numId w:val="1003"/>
        </w:numPr>
        <w:pStyle w:val="Compact"/>
      </w:pPr>
      <w:r>
        <w:rPr>
          <w:iCs/>
          <w:i/>
        </w:rPr>
        <w:t xml:space="preserve">Policy Recommendations</w:t>
      </w:r>
      <w:r>
        <w:t xml:space="preserve">: Proposals for the Malaysian Creative Industry Development Corporation (MCIDC) to establish certification standards for Graphic Designers in Kuala Lumpur, similar to Singapore's SBC-registered designers, enhancing professional credibility and reducing market saturation.</w:t>
      </w:r>
    </w:p>
    <w:p>
      <w:pPr>
        <w:pStyle w:val="FirstParagraph"/>
      </w:pPr>
      <w:r>
        <w:t xml:space="preserve">The significance extends beyond academia: For Malaysia Kuala Lumpur, this research directly supports the government's National Creative Industry Blueprint 2030 by equipping</w:t>
      </w:r>
      <w:r>
        <w:t xml:space="preserve"> </w:t>
      </w:r>
      <w:r>
        <w:rPr>
          <w:iCs/>
          <w:i/>
        </w:rPr>
        <w:t xml:space="preserve">Graphic Designer</w:t>
      </w:r>
      <w:r>
        <w:t xml:space="preserve"> </w:t>
      </w:r>
      <w:r>
        <w:t xml:space="preserve">professionals to drive exportable creative services—key to transforming KL into a "Design Capital of Southeast Asia." Companies gain actionable insights for talent acquisition, while designers access clearer career pathways in a market where 68% report "uncertainty about advancement" (MDEA, 2023).</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Survey design, IRB approval, stakeholder outreach</w:t>
      </w:r>
    </w:p>
    <w:p>
      <w:pPr>
        <w:pStyle w:val="BodyText"/>
      </w:pPr>
      <w:r>
        <w:t xml:space="preserve">3-4</w:t>
      </w:r>
    </w:p>
    <w:p>
      <w:pPr>
        <w:pStyle w:val="BodyText"/>
      </w:pPr>
      <w:r>
        <w:t xml:space="preserve">Data collection: Surveys and interviews</w:t>
      </w:r>
    </w:p>
    <w:p>
      <w:pPr>
        <w:pStyle w:val="BodyText"/>
      </w:pPr>
      <w:r>
        <w:t xml:space="preserve">5</w:t>
      </w:r>
    </w:p>
    <w:p>
      <w:pPr>
        <w:pStyle w:val="BodyText"/>
      </w:pPr>
      <w:r>
        <w:t xml:space="preserve">Cultural campaign analysis &amp; preliminary insights validation (with focus groups)</w:t>
      </w:r>
    </w:p>
    <w:p>
      <w:pPr>
        <w:pStyle w:val="BodyText"/>
      </w:pPr>
      <w:r>
        <w:t xml:space="preserve">6</w:t>
      </w:r>
    </w:p>
    <w:p>
      <w:pPr>
        <w:pStyle w:val="BodyText"/>
      </w:pPr>
      <w:r>
        <w:t xml:space="preserve">Framework development, report drafting, stakeholder presentation in Kuala Lumpur</w:t>
      </w:r>
    </w:p>
    <w:bookmarkEnd w:id="26"/>
    <w:bookmarkStart w:id="27" w:name="conclusion"/>
    <w:p>
      <w:pPr>
        <w:pStyle w:val="Heading2"/>
      </w:pPr>
      <w:r>
        <w:t xml:space="preserve">8. Conclusion</w:t>
      </w:r>
    </w:p>
    <w:p>
      <w:pPr>
        <w:pStyle w:val="FirstParagraph"/>
      </w:pPr>
      <w:r>
        <w:t xml:space="preserve">The role of the Graphic Designer in Malaysia Kuala Lumpur transcends technical execution—it embodies cultural navigation in a society where visual identity shapes national and corporate narratives. This Research Proposal addresses an urgent industry need by centering the unique confluence of technology, multiculturalism, and market demands specific to Kuala Lumpur. By grounding findings in real-world practice within Malaysia's creative economy, this study will empower Graphic Designers to thrive as strategic partners—not just service providers—within the nation's $120 billion digital transformation journey. The outcomes promise not only enhanced professional standards but also a stronger foundation for Malaysia's creative exports, from KL-based agencies creating viral campaigns for ASEAN brands to designers elevating local cultural heritage on global platforms. Ultimately, this research positions Graphic Designers as essential catalysts in Malaysia Kuala Lumpur's vision to become Southeast Asia's preeminent innovation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Malaysia Kuala Lumpur</dc:title>
  <dc:creator/>
  <dc:language>en</dc:language>
  <cp:keywords/>
  <dcterms:created xsi:type="dcterms:W3CDTF">2026-07-23T19:15:42Z</dcterms:created>
  <dcterms:modified xsi:type="dcterms:W3CDTF">2026-07-23T19:15:42Z</dcterms:modified>
</cp:coreProperties>
</file>

<file path=docProps/custom.xml><?xml version="1.0" encoding="utf-8"?>
<Properties xmlns="http://schemas.openxmlformats.org/officeDocument/2006/custom-properties" xmlns:vt="http://schemas.openxmlformats.org/officeDocument/2006/docPropsVTypes"/>
</file>