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0" w:name="Xe6fbc29ce57333df5803976c3163338ec04ed27"/>
    <w:p>
      <w:pPr>
        <w:pStyle w:val="Heading1"/>
      </w:pPr>
      <w:r>
        <w:t xml:space="preserve">Research Proposal: The Evolving Role of the Graphic Designer in Netherlands Amsterdam</w:t>
      </w:r>
    </w:p>
    <w:p>
      <w:pPr>
        <w:pStyle w:val="FirstParagraph"/>
      </w:pPr>
      <w:r>
        <w:rPr>
          <w:bCs/>
          <w:b/>
        </w:rPr>
        <w:t xml:space="preserve">Introduction</w:t>
      </w:r>
    </w:p>
    <w:p>
      <w:pPr>
        <w:pStyle w:val="BodyText"/>
      </w:pPr>
      <w:r>
        <w:t xml:space="preserve">The creative industry in the Netherlands, particularly within Amsterdam, represents a dynamic nexus where cultural heritage meets cutting-edge innovation. As a global hub for design and digital creativity, Amsterdam attracts talent from across Europe and beyond, fostering an environment where the profession of Graphic Designer continually reshapes itself. This</w:t>
      </w:r>
      <w:r>
        <w:t xml:space="preserve"> </w:t>
      </w:r>
      <w:r>
        <w:rPr>
          <w:bCs/>
          <w:b/>
        </w:rPr>
        <w:t xml:space="preserve">Research Proposal</w:t>
      </w:r>
      <w:r>
        <w:t xml:space="preserve"> </w:t>
      </w:r>
      <w:r>
        <w:t xml:space="preserve">investigates how contemporary</w:t>
      </w:r>
      <w:r>
        <w:t xml:space="preserve"> </w:t>
      </w:r>
      <w:r>
        <w:rPr>
          <w:bCs/>
          <w:b/>
        </w:rPr>
        <w:t xml:space="preserve">Graphic Designer</w:t>
      </w:r>
      <w:r>
        <w:t xml:space="preserve"> </w:t>
      </w:r>
      <w:r>
        <w:t xml:space="preserve">roles are adapting to technological shifts, market demands, and Amsterdam's unique socio-cultural landscape. The Netherlands has long been synonymous with design excellence—from De Stijl movements to today's digital agencies—yet the rapid evolution of AI tools, sustainability imperatives, and globalized client expectations necessitate a critical examination of professional trajectories in</w:t>
      </w:r>
      <w:r>
        <w:t xml:space="preserve"> </w:t>
      </w:r>
      <w:r>
        <w:rPr>
          <w:bCs/>
          <w:b/>
        </w:rPr>
        <w:t xml:space="preserve">Netherlands Amsterdam</w:t>
      </w:r>
      <w:r>
        <w:t xml:space="preserve">. This study aims to map the current state and future direction of graphic design practice within this pivotal urban ecosystem.</w:t>
      </w:r>
    </w:p>
    <w:p>
      <w:pPr>
        <w:pStyle w:val="BodyText"/>
      </w:pPr>
      <w:r>
        <w:rPr>
          <w:bCs/>
          <w:b/>
        </w:rPr>
        <w:t xml:space="preserve">Problem Statement</w:t>
      </w:r>
    </w:p>
    <w:p>
      <w:pPr>
        <w:pStyle w:val="BodyText"/>
      </w:pPr>
      <w:r>
        <w:t xml:space="preserve">While Amsterdam’s creative sector contributes over €1.2 billion annually to the Dutch economy (Nederlandse Film &amp; Media, 2023), a significant gap exists in understanding how</w:t>
      </w:r>
      <w:r>
        <w:t xml:space="preserve"> </w:t>
      </w:r>
      <w:r>
        <w:rPr>
          <w:bCs/>
          <w:b/>
        </w:rPr>
        <w:t xml:space="preserve">Graphic Designer</w:t>
      </w:r>
      <w:r>
        <w:t xml:space="preserve">s navigate professional transformation. Many designers report skill misalignment with employer needs, exacerbated by fragmented educational pathways and the pressure to master emerging technologies like generative AI. In</w:t>
      </w:r>
      <w:r>
        <w:t xml:space="preserve"> </w:t>
      </w:r>
      <w:r>
        <w:rPr>
          <w:bCs/>
          <w:b/>
        </w:rPr>
        <w:t xml:space="preserve">Netherlands Amsterdam</w:t>
      </w:r>
      <w:r>
        <w:t xml:space="preserve">, where design is deeply intertwined with city identity—from iconic museum branding to sustainable urban campaigns—this disconnect threatens both individual career progression and the city’s competitive edge as a creative capital. Without empirical insight, institutions cannot develop relevant curricula, and practitioners cannot strategically position themselves in a market increasingly dominated by tech-driven solutions.</w:t>
      </w:r>
    </w:p>
    <w:p>
      <w:pPr>
        <w:pStyle w:val="BodyText"/>
      </w:pPr>
      <w:r>
        <w:rPr>
          <w:bCs/>
          <w:b/>
        </w:rPr>
        <w:t xml:space="preserve">Literature Review</w:t>
      </w:r>
    </w:p>
    <w:p>
      <w:pPr>
        <w:pStyle w:val="BodyText"/>
      </w:pPr>
      <w:r>
        <w:t xml:space="preserve">Existing scholarship on graphic design focuses predominantly on historical movements (e.g., Van der Velden’s work on Dutch Design Heritage) or global trends (e.g., Tschichold’s typographic principles). However, few studies examine contemporary practice in specific urban contexts like Amsterdam. Research by De Ridder (2021) highlights the Netherlands’ "design democracy" ethos but overlooks digital disruption. Meanwhile, Gombrich’s theories on visual communication remain foundational yet inadequate for analyzing AI-augmented workflows. Crucially, no systematic study has mapped the evolving skillset demands for</w:t>
      </w:r>
      <w:r>
        <w:t xml:space="preserve"> </w:t>
      </w:r>
      <w:r>
        <w:rPr>
          <w:bCs/>
          <w:b/>
        </w:rPr>
        <w:t xml:space="preserve">Graphic Designer</w:t>
      </w:r>
      <w:r>
        <w:t xml:space="preserve">s in</w:t>
      </w:r>
      <w:r>
        <w:t xml:space="preserve"> </w:t>
      </w:r>
      <w:r>
        <w:rPr>
          <w:bCs/>
          <w:b/>
        </w:rPr>
        <w:t xml:space="preserve">Netherlands Amsterdam</w:t>
      </w:r>
      <w:r>
        <w:t xml:space="preserve">, leaving practitioners to self-educate amid rapid change. This proposal bridges that gap by grounding analysis in Amsterdam’s distinct ecosystem: its blend of historic preservation, digital innovation, and UNESCO Creative City status (2021).</w:t>
      </w:r>
    </w:p>
    <w:p>
      <w:pPr>
        <w:pStyle w:val="BodyText"/>
      </w:pPr>
      <w:r>
        <w:rPr>
          <w:bCs/>
          <w:b/>
        </w:rPr>
        <w:t xml:space="preserve">Research Questions</w:t>
      </w:r>
    </w:p>
    <w:p>
      <w:pPr>
        <w:numPr>
          <w:ilvl w:val="0"/>
          <w:numId w:val="1001"/>
        </w:numPr>
        <w:pStyle w:val="Compact"/>
      </w:pPr>
      <w:r>
        <w:t xml:space="preserve">How are technological advancements (e.g., AI-driven design tools) reshaping core competencies required of a Graphic Designer in Amsterdam?</w:t>
      </w:r>
    </w:p>
    <w:p>
      <w:pPr>
        <w:numPr>
          <w:ilvl w:val="0"/>
          <w:numId w:val="1001"/>
        </w:numPr>
        <w:pStyle w:val="Compact"/>
      </w:pPr>
      <w:r>
        <w:t xml:space="preserve">What socio-economic factors specific to Netherlands Amsterdam influence career development and professional identity for graphic designers?</w:t>
      </w:r>
    </w:p>
    <w:p>
      <w:pPr>
        <w:numPr>
          <w:ilvl w:val="0"/>
          <w:numId w:val="1001"/>
        </w:numPr>
        <w:pStyle w:val="Compact"/>
      </w:pPr>
      <w:r>
        <w:t xml:space="preserve">To what extent does Amsterdam’s sustainability agenda (e.g., Circular Design Charter) alter creative workflows and client expectations?</w:t>
      </w:r>
    </w:p>
    <w:p>
      <w:pPr>
        <w:numPr>
          <w:ilvl w:val="0"/>
          <w:numId w:val="1001"/>
        </w:numPr>
        <w:pStyle w:val="Compact"/>
      </w:pPr>
      <w:r>
        <w:t xml:space="preserve">How do educational institutions in the Netherlands align their curricula with industry needs emerging from Amsterdam’s market?</w:t>
      </w:r>
    </w:p>
    <w:p>
      <w:pPr>
        <w:pStyle w:val="FirstParagraph"/>
      </w:pPr>
      <w:r>
        <w:rPr>
          <w:bCs/>
          <w:b/>
        </w:rPr>
        <w:t xml:space="preserve">Methodology</w:t>
      </w:r>
    </w:p>
    <w:p>
      <w:pPr>
        <w:pStyle w:val="BodyText"/>
      </w:pPr>
      <w:r>
        <w:t xml:space="preserve">This mixed-methods study employs a 12-month action research framework, prioritizing real-world relevance for</w:t>
      </w:r>
      <w:r>
        <w:t xml:space="preserve"> </w:t>
      </w:r>
      <w:r>
        <w:rPr>
          <w:bCs/>
          <w:b/>
        </w:rPr>
        <w:t xml:space="preserve">Netherlands Amsterdam</w:t>
      </w:r>
      <w:r>
        <w:t xml:space="preserve">. Phase 1 involves quantitative analysis of job listings (500+ from LinkedIn, Behance, and Dutch design platforms) to identify evolving skill requirements. Phase 2 conducts semi-structured interviews with 30 stakeholders: senior designers at agencies like ZOO Creative and DDB Amsterdam; educators from Design Academy Eindhoven and AKV|St. Joost; and clients from the Amsterdam Museum to MVRDV. Phase 3 uses participatory workshops co-designed with local</w:t>
      </w:r>
      <w:r>
        <w:t xml:space="preserve"> </w:t>
      </w:r>
      <w:r>
        <w:rPr>
          <w:bCs/>
          <w:b/>
        </w:rPr>
        <w:t xml:space="preserve">Graphic Designer</w:t>
      </w:r>
      <w:r>
        <w:t xml:space="preserve">s to prototype adaptive skill frameworks. Ethical approval will be sought through the University of Amsterdam’s IRB, ensuring data privacy for all participants in</w:t>
      </w:r>
      <w:r>
        <w:t xml:space="preserve"> </w:t>
      </w:r>
      <w:r>
        <w:rPr>
          <w:bCs/>
          <w:b/>
        </w:rPr>
        <w:t xml:space="preserve">Netherlands Amsterdam</w:t>
      </w:r>
      <w:r>
        <w:t xml:space="preserve">. Data triangulation will validate findings across employment trends, qualitative insights, and practical application.</w:t>
      </w:r>
    </w:p>
    <w:p>
      <w:pPr>
        <w:pStyle w:val="BodyText"/>
      </w:pPr>
      <w:r>
        <w:rPr>
          <w:bCs/>
          <w:b/>
        </w:rPr>
        <w:t xml:space="preserve">Expected Outcomes and Significance</w:t>
      </w:r>
    </w:p>
    <w:p>
      <w:pPr>
        <w:pStyle w:val="BodyText"/>
      </w:pPr>
      <w:r>
        <w:t xml:space="preserve">This research will deliver a comprehensive "Design Competency Map" tailored to Amsterdam’s market—identifying emerging skills (e.g., AI prompt engineering, sustainable material literacy) versus fading ones (e.g., purely print-focused workflows). Crucially, it will propose actionable frameworks for three stakeholder groups:</w:t>
      </w:r>
      <w:r>
        <w:t xml:space="preserve"> </w:t>
      </w:r>
      <w:r>
        <w:rPr>
          <w:bCs/>
          <w:b/>
        </w:rPr>
        <w:t xml:space="preserve">Graphic Designer</w:t>
      </w:r>
      <w:r>
        <w:t xml:space="preserve">s seeking career resilience; educational bodies like the Gerrit Rietveld Academie to revamp syllabi; and city policymakers to embed design in Amsterdam’s Circular Economy Strategy. For</w:t>
      </w:r>
      <w:r>
        <w:t xml:space="preserve"> </w:t>
      </w:r>
      <w:r>
        <w:rPr>
          <w:bCs/>
          <w:b/>
        </w:rPr>
        <w:t xml:space="preserve">Netherlands Amsterdam</w:t>
      </w:r>
      <w:r>
        <w:t xml:space="preserve">, these outcomes position the city as a model for "future-ready" creative economies. Beyond academia, the study will culminate in an open-access digital toolkit—available via Amsterdams Creatief (Amsterdam Creative) platform—to help practitioners navigate transitions.</w:t>
      </w:r>
    </w:p>
    <w:p>
      <w:pPr>
        <w:pStyle w:val="BodyText"/>
      </w:pPr>
      <w:r>
        <w:rPr>
          <w:bCs/>
          <w:b/>
        </w:rPr>
        <w:t xml:space="preserve">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Data Collection</w:t>
            </w:r>
          </w:p>
        </w:tc>
        <w:tc>
          <w:tcPr/>
          <w:p>
            <w:pPr>
              <w:pStyle w:val="Compact"/>
              <w:jc w:val="left"/>
            </w:pPr>
            <w:r>
              <w:t xml:space="preserve">Job market analysis, initial interviews</w:t>
            </w:r>
          </w:p>
        </w:tc>
        <w:tc>
          <w:tcPr/>
          <w:p>
            <w:pPr>
              <w:pStyle w:val="Compact"/>
              <w:jc w:val="left"/>
            </w:pPr>
            <w:r>
              <w:t xml:space="preserve">Semi-structured interviews (30+)</w:t>
            </w:r>
          </w:p>
        </w:tc>
        <w:tc>
          <w:tcPr/>
          <w:p>
            <w:pPr>
              <w:pStyle w:val="Compact"/>
              <w:jc w:val="left"/>
            </w:pPr>
            <w:r>
              <w:t xml:space="preserve">Workshop development &amp; validation</w:t>
            </w:r>
          </w:p>
        </w:tc>
        <w:tc>
          <w:tcPr/>
          <w:p>
            <w:pPr>
              <w:pStyle w:val="Compact"/>
              <w:jc w:val="left"/>
            </w:pPr>
            <w:r>
              <w:t xml:space="preserve">Final framework synthesis</w:t>
            </w:r>
          </w:p>
        </w:tc>
      </w:tr>
      <w:tr>
        <w:tc>
          <w:tcPr/>
          <w:p>
            <w:pPr>
              <w:pStyle w:val="Compact"/>
              <w:jc w:val="left"/>
            </w:pPr>
            <w:r>
              <w:rPr>
                <w:bCs/>
                <w:b/>
              </w:rPr>
              <w:t xml:space="preserve">Outputs</w:t>
            </w:r>
          </w:p>
        </w:tc>
        <w:tc>
          <w:tcPr/>
          <w:p>
            <w:pPr>
              <w:pStyle w:val="Compact"/>
              <w:jc w:val="left"/>
            </w:pPr>
            <w:r>
              <w:t xml:space="preserve">Competency baseline report</w:t>
            </w:r>
          </w:p>
        </w:tc>
        <w:tc>
          <w:tcPr/>
          <w:p>
            <w:pPr>
              <w:pStyle w:val="Compact"/>
              <w:jc w:val="left"/>
            </w:pPr>
            <w:r>
              <w:t xml:space="preserve">Preliminary skill mapping draft</w:t>
            </w:r>
          </w:p>
        </w:tc>
        <w:tc>
          <w:tcPr/>
          <w:p>
            <w:pPr>
              <w:pStyle w:val="Compact"/>
              <w:jc w:val="left"/>
            </w:pPr>
            <w:r>
              <w:t xml:space="preserve">Cohort-tested toolkit prototype</w:t>
            </w:r>
          </w:p>
        </w:tc>
        <w:tc>
          <w:tcPr/>
          <w:p>
            <w:pPr>
              <w:pStyle w:val="Compact"/>
              <w:jc w:val="left"/>
            </w:pPr>
            <w:r>
              <w:t xml:space="preserve">Final research publication &amp; policy briefs</w:t>
            </w:r>
          </w:p>
        </w:tc>
      </w:tr>
    </w:tbl>
    <w:p>
      <w:pPr>
        <w:pStyle w:val="BodyText"/>
      </w:pPr>
      <w:r>
        <w:rPr>
          <w:bCs/>
          <w:b/>
        </w:rPr>
        <w:t xml:space="preserve">Significance for Netherlands Amsterdam and Beyond</w:t>
      </w:r>
    </w:p>
    <w:p>
      <w:pPr>
        <w:pStyle w:val="BodyText"/>
      </w:pPr>
      <w:r>
        <w:t xml:space="preserve">As a city where design is not merely commercial but cultural infrastructure (e.g., the annual "Design March" festivals), Amsterdam’s approach to nurturing its</w:t>
      </w:r>
      <w:r>
        <w:t xml:space="preserve"> </w:t>
      </w:r>
      <w:r>
        <w:rPr>
          <w:bCs/>
          <w:b/>
        </w:rPr>
        <w:t xml:space="preserve">Graphic Designer</w:t>
      </w:r>
      <w:r>
        <w:t xml:space="preserve">s sets a precedent. This study transcends local relevance: it offers a replicable model for other UNESCO Creative Cities facing similar digital disruption. For the</w:t>
      </w:r>
      <w:r>
        <w:t xml:space="preserve"> </w:t>
      </w:r>
      <w:r>
        <w:rPr>
          <w:bCs/>
          <w:b/>
        </w:rPr>
        <w:t xml:space="preserve">Netherlands Amsterdam</w:t>
      </w:r>
      <w:r>
        <w:t xml:space="preserve"> </w:t>
      </w:r>
      <w:r>
        <w:t xml:space="preserve">ecosystem, success means ensuring that the next generation of designers can leverage AI as an amplifier—not replacement—for human creativity, while embedding ethical and ecological values central to Dutch design philosophy. Critically, it addresses the "brain drain" risk by making Amsterdam’s creative sector more attractive to global talent seeking purpose-driven work in a city synonymous with innovation and inclusivity.</w:t>
      </w:r>
    </w:p>
    <w:p>
      <w:pPr>
        <w:pStyle w:val="BodyText"/>
      </w:pPr>
      <w:r>
        <w:rPr>
          <w:bCs/>
          <w:b/>
        </w:rPr>
        <w:t xml:space="preserve">Conclusion</w:t>
      </w:r>
    </w:p>
    <w:p>
      <w:pPr>
        <w:pStyle w:val="BodyText"/>
      </w:pPr>
      <w:r>
        <w:t xml:space="preserve">This</w:t>
      </w:r>
      <w:r>
        <w:t xml:space="preserve"> </w:t>
      </w:r>
      <w:r>
        <w:rPr>
          <w:bCs/>
          <w:b/>
        </w:rPr>
        <w:t xml:space="preserve">Research Proposal</w:t>
      </w:r>
      <w:r>
        <w:t xml:space="preserve"> </w:t>
      </w:r>
      <w:r>
        <w:t xml:space="preserve">responds urgently to the transformation of the</w:t>
      </w:r>
      <w:r>
        <w:t xml:space="preserve"> </w:t>
      </w:r>
      <w:r>
        <w:rPr>
          <w:bCs/>
          <w:b/>
        </w:rPr>
        <w:t xml:space="preserve">Graphic Designer</w:t>
      </w:r>
      <w:r>
        <w:t xml:space="preserve"> </w:t>
      </w:r>
      <w:r>
        <w:t xml:space="preserve">profession within the vibrant, complex context of</w:t>
      </w:r>
      <w:r>
        <w:t xml:space="preserve"> </w:t>
      </w:r>
      <w:r>
        <w:rPr>
          <w:bCs/>
          <w:b/>
        </w:rPr>
        <w:t xml:space="preserve">Netherlands Amsterdam</w:t>
      </w:r>
      <w:r>
        <w:t xml:space="preserve">. By centering local expertise and global trends in equal measure, it promises not just academic contribution but tangible impact for practitioners navigating one of Europe’s most dynamic creative landscapes. The findings will empower Amsterdam to maintain its leadership in design-driven urban innovation—proving that as technology evolves, the irreplaceable value of human-centered creativity remains at the heart of</w:t>
      </w:r>
      <w:r>
        <w:t xml:space="preserve"> </w:t>
      </w:r>
      <w:r>
        <w:rPr>
          <w:bCs/>
          <w:b/>
        </w:rPr>
        <w:t xml:space="preserve">Netherlands Amsterdam</w:t>
      </w:r>
      <w:r>
        <w:t xml:space="preserve">'s identity. We seek partnership with institutions like the City of Amsterdam’s Bureau Stadsklimaat and KABK to ensure this research directly informs policy and practice in our shared creative future.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Netherlands Amsterdam</dc:title>
  <dc:creator/>
  <dc:language>en</dc:language>
  <cp:keywords/>
  <dcterms:created xsi:type="dcterms:W3CDTF">2026-07-21T09:06:32Z</dcterms:created>
  <dcterms:modified xsi:type="dcterms:W3CDTF">2026-07-21T09:06:32Z</dcterms:modified>
</cp:coreProperties>
</file>

<file path=docProps/custom.xml><?xml version="1.0" encoding="utf-8"?>
<Properties xmlns="http://schemas.openxmlformats.org/officeDocument/2006/custom-properties" xmlns:vt="http://schemas.openxmlformats.org/officeDocument/2006/docPropsVTypes"/>
</file>