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Xe2e8a487cb0531a36b2697a510fe460f207b9cb"/>
    <w:p>
      <w:pPr>
        <w:pStyle w:val="Heading1"/>
      </w:pPr>
      <w:r>
        <w:t xml:space="preserve">Research Proposal: The Evolving Role of Graphic Designer in Peru Lima's Creative Economy</w:t>
      </w:r>
    </w:p>
    <w:bookmarkStart w:id="20" w:name="introduction"/>
    <w:p>
      <w:pPr>
        <w:pStyle w:val="Heading2"/>
      </w:pPr>
      <w:r>
        <w:t xml:space="preserve">1. Introduction</w:t>
      </w:r>
    </w:p>
    <w:p>
      <w:pPr>
        <w:pStyle w:val="FirstParagraph"/>
      </w:pPr>
      <w:r>
        <w:t xml:space="preserve">The creative industries are increasingly recognized as vital drivers of economic growth and cultural identity globally. In Peru Lima, the capital city and cultural epicenter of the nation, a dynamic transformation is underway within the graphic design sector. This Research Proposal examines the professional evolution of the</w:t>
      </w:r>
      <w:r>
        <w:t xml:space="preserve"> </w:t>
      </w:r>
      <w:r>
        <w:rPr>
          <w:bCs/>
          <w:b/>
        </w:rPr>
        <w:t xml:space="preserve">Graphic Designer</w:t>
      </w:r>
      <w:r>
        <w:t xml:space="preserve"> </w:t>
      </w:r>
      <w:r>
        <w:t xml:space="preserve">in</w:t>
      </w:r>
      <w:r>
        <w:t xml:space="preserve"> </w:t>
      </w:r>
      <w:r>
        <w:rPr>
          <w:bCs/>
          <w:b/>
        </w:rPr>
        <w:t xml:space="preserve">Peru Lima</w:t>
      </w:r>
      <w:r>
        <w:t xml:space="preserve">, analyzing how technological shifts, market demands, and cultural preservation efforts are reshaping this critical creative profession. As Peru positions itself as a hub for Latin American innovation, understanding the trajectory of its design community becomes essential for sustainable development planning.</w:t>
      </w:r>
    </w:p>
    <w:bookmarkEnd w:id="20"/>
    <w:bookmarkStart w:id="21" w:name="problem-statement"/>
    <w:p>
      <w:pPr>
        <w:pStyle w:val="Heading2"/>
      </w:pPr>
      <w:r>
        <w:t xml:space="preserve">2. Problem Statement</w:t>
      </w:r>
    </w:p>
    <w:p>
      <w:pPr>
        <w:pStyle w:val="FirstParagraph"/>
      </w:pPr>
      <w:r>
        <w:t xml:space="preserve">Despite Lima's status as Peru's economic and cultural capital—with over 10 million residents and 45% of the country's GDP—there is a critical gap in understanding how contemporary</w:t>
      </w:r>
      <w:r>
        <w:t xml:space="preserve"> </w:t>
      </w:r>
      <w:r>
        <w:rPr>
          <w:bCs/>
          <w:b/>
        </w:rPr>
        <w:t xml:space="preserve">Graphic Designer</w:t>
      </w:r>
      <w:r>
        <w:t xml:space="preserve">s navigate professional challenges unique to</w:t>
      </w:r>
      <w:r>
        <w:t xml:space="preserve"> </w:t>
      </w:r>
      <w:r>
        <w:rPr>
          <w:bCs/>
          <w:b/>
        </w:rPr>
        <w:t xml:space="preserve">Peru Lima</w:t>
      </w:r>
      <w:r>
        <w:t xml:space="preserve">. Current studies focus either on global design trends or isolated case studies, neglecting the socio-economic context of Peru's largest urban center. Key issues include: (a) the digital divide affecting design accessibility in emerging neighborhoods; (b) the tension between preserving Andean cultural aesthetics and adopting international minimalism; and (c) insufficient industry-academia collaboration leading to skill mismatches. Without targeted research, Peru risks losing its design talent to global markets while failing to leverage local creativity for national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Graphic Designer in Lima through quantitative and qualitative analysis</w:t>
      </w:r>
    </w:p>
    <w:p>
      <w:pPr>
        <w:numPr>
          <w:ilvl w:val="0"/>
          <w:numId w:val="1001"/>
        </w:numPr>
        <w:pStyle w:val="Compact"/>
      </w:pPr>
      <w:r>
        <w:t xml:space="preserve">Evaluate how cultural identity influences design practices within Peru Lima's unique socio-geographic context</w:t>
      </w:r>
    </w:p>
    <w:p>
      <w:pPr>
        <w:numPr>
          <w:ilvl w:val="0"/>
          <w:numId w:val="1001"/>
        </w:numPr>
        <w:pStyle w:val="Compact"/>
      </w:pPr>
      <w:r>
        <w:t xml:space="preserve">Identify technological barriers hindering innovation for emerging designers in Peru Lima</w:t>
      </w:r>
    </w:p>
    <w:p>
      <w:pPr>
        <w:numPr>
          <w:ilvl w:val="0"/>
          <w:numId w:val="1001"/>
        </w:numPr>
        <w:pStyle w:val="Compact"/>
      </w:pPr>
      <w:r>
        <w:t xml:space="preserve">Propose a framework for sustainable design education aligned with Lima's economic realities</w:t>
      </w:r>
    </w:p>
    <w:bookmarkEnd w:id="22"/>
    <w:bookmarkStart w:id="23" w:name="literature-review-key-gaps"/>
    <w:p>
      <w:pPr>
        <w:pStyle w:val="Heading2"/>
      </w:pPr>
      <w:r>
        <w:t xml:space="preserve">4. Literature Review (Key Gaps)</w:t>
      </w:r>
    </w:p>
    <w:p>
      <w:pPr>
        <w:pStyle w:val="FirstParagraph"/>
      </w:pPr>
      <w:r>
        <w:t xml:space="preserve">Existing literature on Latin American graphic design predominantly examines Brazil or Mexico, overlooking Peru's distinct cultural mosaic. Studies by Silva (2019) note Peru's rich textile heritage influencing modern branding, yet fail to address Lima's urban challenges like traffic congestion limiting client meetings or internet instability in peripheral districts. Meanwhile, World Bank reports (2022) highlight creative sectors as "growth engines" but omit specific design role analysis. Crucially, no research has documented how</w:t>
      </w:r>
      <w:r>
        <w:t xml:space="preserve"> </w:t>
      </w:r>
      <w:r>
        <w:rPr>
          <w:bCs/>
          <w:b/>
        </w:rPr>
        <w:t xml:space="preserve">Graphic Designer</w:t>
      </w:r>
      <w:r>
        <w:t xml:space="preserve">s in</w:t>
      </w:r>
      <w:r>
        <w:t xml:space="preserve"> </w:t>
      </w:r>
      <w:r>
        <w:rPr>
          <w:bCs/>
          <w:b/>
        </w:rPr>
        <w:t xml:space="preserve">Peru Lima</w:t>
      </w:r>
      <w:r>
        <w:t xml:space="preserve"> </w:t>
      </w:r>
      <w:r>
        <w:t xml:space="preserve">balance indigenous symbolism (e.g., Inca motifs, Andean colors) with global design standards demanded by multinational clients. This gap impedes culturally sensitive development strategies.</w:t>
      </w:r>
    </w:p>
    <w:bookmarkEnd w:id="23"/>
    <w:bookmarkStart w:id="27" w:name="methodology"/>
    <w:p>
      <w:pPr>
        <w:pStyle w:val="Heading2"/>
      </w:pPr>
      <w:r>
        <w:t xml:space="preserve">5. Methodology</w:t>
      </w:r>
    </w:p>
    <w:p>
      <w:pPr>
        <w:pStyle w:val="FirstParagraph"/>
      </w:pPr>
      <w:r>
        <w:t xml:space="preserve">The research employs a mixed-methods approach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Survey 500+ practicing Graphic Designer in Lima via professional platforms (Behance, LinkedIn) and design schools</w:t>
      </w:r>
    </w:p>
    <w:p>
      <w:pPr>
        <w:numPr>
          <w:ilvl w:val="0"/>
          <w:numId w:val="1002"/>
        </w:numPr>
        <w:pStyle w:val="Compact"/>
      </w:pPr>
      <w:r>
        <w:t xml:space="preserve">Variables measured: income brackets, client types (local vs. international), technology access, cultural integration in projects</w:t>
      </w:r>
    </w:p>
    <w:p>
      <w:pPr>
        <w:numPr>
          <w:ilvl w:val="0"/>
          <w:numId w:val="1002"/>
        </w:numPr>
        <w:pStyle w:val="Compact"/>
      </w:pPr>
      <w:r>
        <w:t xml:space="preserve">Stratified sampling targeting districts like Miraflores (high-end), Comas (working-class), and San Martín de Porres (emerging)</w:t>
      </w:r>
    </w:p>
    <w:bookmarkEnd w:id="24"/>
    <w:bookmarkStart w:id="25" w:name="Xbc082506409d9b092192a1d3077721917da04a1"/>
    <w:p>
      <w:pPr>
        <w:pStyle w:val="Heading3"/>
      </w:pPr>
      <w:r>
        <w:t xml:space="preserve">Phase 2: Ethnographic Fieldwork (Months 5-10)</w:t>
      </w:r>
    </w:p>
    <w:p>
      <w:pPr>
        <w:numPr>
          <w:ilvl w:val="0"/>
          <w:numId w:val="1003"/>
        </w:numPr>
        <w:pStyle w:val="Compact"/>
      </w:pPr>
      <w:r>
        <w:t xml:space="preserve">Participant observation at Lima's design hubs: El Mercado de la Música, Casona del Arte, and co-working spaces like B4P</w:t>
      </w:r>
    </w:p>
    <w:p>
      <w:pPr>
        <w:numPr>
          <w:ilvl w:val="0"/>
          <w:numId w:val="1003"/>
        </w:numPr>
        <w:pStyle w:val="Compact"/>
      </w:pPr>
      <w:r>
        <w:t xml:space="preserve">Deep-dive interviews with 30 designers across career stages (junior to studio owners)</w:t>
      </w:r>
    </w:p>
    <w:p>
      <w:pPr>
        <w:numPr>
          <w:ilvl w:val="0"/>
          <w:numId w:val="1003"/>
        </w:numPr>
        <w:pStyle w:val="Compact"/>
      </w:pPr>
      <w:r>
        <w:t xml:space="preserve">Documenting case studies of projects blending Peruvian elements (e.g., Chavín motifs in digital branding for Andean tourism)</w:t>
      </w:r>
    </w:p>
    <w:bookmarkEnd w:id="25"/>
    <w:bookmarkStart w:id="26" w:name="X40f9f3b3e5df528184638a7a4cef25cb1c5983b"/>
    <w:p>
      <w:pPr>
        <w:pStyle w:val="Heading3"/>
      </w:pPr>
      <w:r>
        <w:t xml:space="preserve">Phase 3: Stakeholder Workshops (Months 11-15)</w:t>
      </w:r>
    </w:p>
    <w:p>
      <w:pPr>
        <w:numPr>
          <w:ilvl w:val="0"/>
          <w:numId w:val="1004"/>
        </w:numPr>
        <w:pStyle w:val="Compact"/>
      </w:pPr>
      <w:r>
        <w:t xml:space="preserve">Collaboration with Universidad de Lima's Design Department and Cámara de Comercio de Lima</w:t>
      </w:r>
    </w:p>
    <w:p>
      <w:pPr>
        <w:numPr>
          <w:ilvl w:val="0"/>
          <w:numId w:val="1004"/>
        </w:numPr>
        <w:pStyle w:val="Compact"/>
      </w:pPr>
      <w:r>
        <w:t xml:space="preserve">Workshops to co-create "Lima Design Resilience Toolkit" addressing identified pain points</w:t>
      </w:r>
    </w:p>
    <w:bookmarkEnd w:id="26"/>
    <w:bookmarkEnd w:id="27"/>
    <w:bookmarkStart w:id="28" w:name="X9dbbcbeecdaafcee5fcc6a5e31142592a67421f"/>
    <w:p>
      <w:pPr>
        <w:pStyle w:val="Heading2"/>
      </w:pPr>
      <w:r>
        <w:t xml:space="preserve">6. Expected Outcomes &amp; Significance for Peru Lima</w:t>
      </w:r>
    </w:p>
    <w:p>
      <w:pPr>
        <w:pStyle w:val="FirstParagraph"/>
      </w:pPr>
      <w:r>
        <w:t xml:space="preserve">This Research Proposal anticipates delivering:</w:t>
      </w:r>
    </w:p>
    <w:p>
      <w:pPr>
        <w:numPr>
          <w:ilvl w:val="0"/>
          <w:numId w:val="1005"/>
        </w:numPr>
        <w:pStyle w:val="Compact"/>
      </w:pPr>
      <w:r>
        <w:rPr>
          <w:bCs/>
          <w:b/>
        </w:rPr>
        <w:t xml:space="preserve">Cultural Mapping Framework:</w:t>
      </w:r>
      <w:r>
        <w:t xml:space="preserve"> </w:t>
      </w:r>
      <w:r>
        <w:t xml:space="preserve">A taxonomy of Peruvian visual elements (e.g., Chullpa, Wari patterns) adaptable to contemporary design, preserving heritage while meeting market needs.</w:t>
      </w:r>
    </w:p>
    <w:p>
      <w:pPr>
        <w:numPr>
          <w:ilvl w:val="0"/>
          <w:numId w:val="1005"/>
        </w:numPr>
        <w:pStyle w:val="Compact"/>
      </w:pPr>
      <w:r>
        <w:rPr>
          <w:bCs/>
          <w:b/>
        </w:rPr>
        <w:t xml:space="preserve">Technology Access Report:</w:t>
      </w:r>
      <w:r>
        <w:t xml:space="preserve"> </w:t>
      </w:r>
      <w:r>
        <w:t xml:space="preserve">Data-driven recommendations for improving internet infrastructure in Lima's design districts like Barranco and La Victoria, reducing digital exclusion.</w:t>
      </w:r>
    </w:p>
    <w:p>
      <w:pPr>
        <w:numPr>
          <w:ilvl w:val="0"/>
          <w:numId w:val="1005"/>
        </w:numPr>
        <w:pStyle w:val="Compact"/>
      </w:pPr>
      <w:r>
        <w:rPr>
          <w:bCs/>
          <w:b/>
        </w:rPr>
        <w:t xml:space="preserve">Educational Blueprint:</w:t>
      </w:r>
      <w:r>
        <w:t xml:space="preserve"> </w:t>
      </w:r>
      <w:r>
        <w:t xml:space="preserve">Curriculum guidelines for Peruvian design schools integrating local craft traditions with digital tools—addressing the 62% skill gap reported by Lima employers (2023).</w:t>
      </w:r>
    </w:p>
    <w:p>
      <w:pPr>
        <w:numPr>
          <w:ilvl w:val="0"/>
          <w:numId w:val="1005"/>
        </w:numPr>
        <w:pStyle w:val="Compact"/>
      </w:pPr>
      <w:r>
        <w:rPr>
          <w:bCs/>
          <w:b/>
        </w:rPr>
        <w:t xml:space="preserve">Policy Brief:</w:t>
      </w:r>
      <w:r>
        <w:t xml:space="preserve"> </w:t>
      </w:r>
      <w:r>
        <w:t xml:space="preserve">Evidence to guide Peru's Ministry of Culture and Economic Development on incentivizing locally rooted design studios.</w:t>
      </w:r>
    </w:p>
    <w:p>
      <w:pPr>
        <w:pStyle w:val="FirstParagraph"/>
      </w:pPr>
      <w:r>
        <w:t xml:space="preserve">The significance for</w:t>
      </w:r>
      <w:r>
        <w:t xml:space="preserve"> </w:t>
      </w:r>
      <w:r>
        <w:rPr>
          <w:bCs/>
          <w:b/>
        </w:rPr>
        <w:t xml:space="preserve">Peru Lima</w:t>
      </w:r>
      <w:r>
        <w:t xml:space="preserve"> </w:t>
      </w:r>
      <w:r>
        <w:t xml:space="preserve">is profound. A thriving graphic design sector can: (a) boost tourism through authentic branding; (b) create 15,000+ jobs by 2030 as projected by the Inter-American Development Bank; and (c) position Lima as a cultural export hub. For example, successful projects like "Pachamama" digital campaign for Inca Trail tours demonstrate how culturally fluent design drives visitor engagement—yet such models remain fragmented.</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Synthesized global/regional benchmarks, survey instrument</w:t>
            </w:r>
          </w:p>
        </w:tc>
      </w:tr>
      <w:tr>
        <w:tc>
          <w:tcPr/>
          <w:p>
            <w:pPr>
              <w:pStyle w:val="Compact"/>
              <w:jc w:val="left"/>
            </w:pPr>
            <w:r>
              <w:t xml:space="preserve">Fieldwork &amp; Data Collection</w:t>
            </w:r>
          </w:p>
        </w:tc>
        <w:tc>
          <w:tcPr/>
          <w:p>
            <w:pPr>
              <w:pStyle w:val="Compact"/>
              <w:jc w:val="left"/>
            </w:pPr>
            <w:r>
              <w:t xml:space="preserve">Months 3-10</w:t>
            </w:r>
          </w:p>
        </w:tc>
        <w:tc>
          <w:tcPr/>
          <w:p>
            <w:pPr>
              <w:pStyle w:val="Compact"/>
              <w:jc w:val="left"/>
            </w:pPr>
            <w:r>
              <w:t xml:space="preserve">500+ survey responses, 30 interview transcripts, 15 case studies</w:t>
            </w:r>
          </w:p>
        </w:tc>
      </w:tr>
      <w:tr>
        <w:tc>
          <w:tcPr/>
          <w:p>
            <w:pPr>
              <w:pStyle w:val="Compact"/>
              <w:jc w:val="left"/>
            </w:pPr>
            <w:r>
              <w:t xml:space="preserve">Data Analysis &amp; Toolkit Development</w:t>
            </w:r>
          </w:p>
        </w:tc>
        <w:tc>
          <w:tcPr/>
          <w:p>
            <w:pPr>
              <w:pStyle w:val="Compact"/>
              <w:jc w:val="left"/>
            </w:pPr>
            <w:r>
              <w:t xml:space="preserve">Months 11-14</w:t>
            </w:r>
          </w:p>
        </w:tc>
        <w:tc>
          <w:tcPr/>
          <w:p>
            <w:pPr>
              <w:pStyle w:val="Compact"/>
              <w:jc w:val="left"/>
            </w:pPr>
            <w:r>
              <w:t xml:space="preserve">Cultural framework, technology assessment report</w:t>
            </w:r>
          </w:p>
        </w:tc>
      </w:tr>
      <w:tr>
        <w:tc>
          <w:tcPr/>
          <w:p>
            <w:pPr>
              <w:pStyle w:val="Compact"/>
              <w:jc w:val="left"/>
            </w:pPr>
            <w:r>
              <w:t xml:space="preserve">Stakeholder Dissemination</w:t>
            </w:r>
          </w:p>
        </w:tc>
        <w:tc>
          <w:tcPr/>
          <w:p>
            <w:pPr>
              <w:pStyle w:val="Compact"/>
              <w:jc w:val="left"/>
            </w:pPr>
            <w:r>
              <w:t xml:space="preserve">Month 15-18</w:t>
            </w:r>
          </w:p>
        </w:tc>
        <w:tc>
          <w:tcPr/>
          <w:p>
            <w:pPr>
              <w:pStyle w:val="Compact"/>
              <w:jc w:val="left"/>
            </w:pPr>
            <w:r>
              <w:t xml:space="preserve">Presentation to government bodies, academic publication, toolkit launch event in Lima's Parque de la Reserva</w:t>
            </w:r>
          </w:p>
        </w:tc>
      </w:tr>
    </w:tbl>
    <w:bookmarkEnd w:id="29"/>
    <w:bookmarkStart w:id="30" w:name="X6326a51c74e42c3f2fd1d6329ddbe4ebb80808f"/>
    <w:p>
      <w:pPr>
        <w:pStyle w:val="Heading2"/>
      </w:pPr>
      <w:r>
        <w:t xml:space="preserve">8. Conclusion: The Designer as Cultural Architect</w:t>
      </w:r>
    </w:p>
    <w:p>
      <w:pPr>
        <w:pStyle w:val="FirstParagraph"/>
      </w:pPr>
      <w:r>
        <w:t xml:space="preserve">This Research Proposal asserts that the modern</w:t>
      </w:r>
      <w:r>
        <w:t xml:space="preserve"> </w:t>
      </w:r>
      <w:r>
        <w:rPr>
          <w:bCs/>
          <w:b/>
        </w:rPr>
        <w:t xml:space="preserve">Graphic Designer</w:t>
      </w:r>
      <w:r>
        <w:t xml:space="preserve"> </w:t>
      </w:r>
      <w:r>
        <w:t xml:space="preserve">in</w:t>
      </w:r>
      <w:r>
        <w:t xml:space="preserve"> </w:t>
      </w:r>
      <w:r>
        <w:rPr>
          <w:bCs/>
          <w:b/>
        </w:rPr>
        <w:t xml:space="preserve">Peru Lima</w:t>
      </w:r>
      <w:r>
        <w:t xml:space="preserve"> </w:t>
      </w:r>
      <w:r>
        <w:t xml:space="preserve">is not merely a visual communicator but a cultural architect navigating globalization and local identity. As Peru's creative economy grows at 7.3% annually (World Economic Forum, 2023), this study will provide the first comprehensive roadmap for harnessing design as both economic catalyst and cultural preservation tool. By centering Lima's unique urban experience—where colonial architecture meets digital startups—we move beyond generic "design industry" narratives to create actionable strategies that honor Peru's past while building its creative future. The outcomes will empower designers, inform policymakers, and ultimately ensure that</w:t>
      </w:r>
      <w:r>
        <w:t xml:space="preserve"> </w:t>
      </w:r>
      <w:r>
        <w:rPr>
          <w:bCs/>
          <w:b/>
        </w:rPr>
        <w:t xml:space="preserve">Peru Lima</w:t>
      </w:r>
      <w:r>
        <w:t xml:space="preserve">’s visual voice becomes a globally recognized asset.</w:t>
      </w:r>
    </w:p>
    <w:p>
      <w:pPr>
        <w:pStyle w:val="BodyText"/>
      </w:pPr>
      <w:r>
        <w:rPr>
          <w:iCs/>
          <w:i/>
        </w:rPr>
        <w:t xml:space="preserve">This proposal aligns with Peru's National Development Plan (2021-2030) which prioritizes "creative industries as strategic sectors" and responds to UNESCO's call for culturally rooted economic growth. Estimated budget: $45,000 (including fieldwork in all 43 Lima districts), seeking funding from the Peruvian Ministry of Culture and Inter-American Development Bank.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Peru Lima</dc:title>
  <dc:creator/>
  <dc:language>en</dc:language>
  <cp:keywords/>
  <dcterms:created xsi:type="dcterms:W3CDTF">2026-05-01T23:21:57Z</dcterms:created>
  <dcterms:modified xsi:type="dcterms:W3CDTF">2026-05-01T23:21:57Z</dcterms:modified>
</cp:coreProperties>
</file>

<file path=docProps/custom.xml><?xml version="1.0" encoding="utf-8"?>
<Properties xmlns="http://schemas.openxmlformats.org/officeDocument/2006/custom-properties" xmlns:vt="http://schemas.openxmlformats.org/officeDocument/2006/docPropsVTypes"/>
</file>