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Graphic</w:t>
      </w:r>
      <w:r>
        <w:t xml:space="preserve"> </w:t>
      </w:r>
      <w:r>
        <w:t xml:space="preserve">Designer</w:t>
      </w:r>
      <w:r>
        <w:t xml:space="preserve"> </w:t>
      </w:r>
      <w:r>
        <w:t xml:space="preserve">in</w:t>
      </w:r>
      <w:r>
        <w:t xml:space="preserve"> </w:t>
      </w:r>
      <w:r>
        <w:t xml:space="preserve">Russia</w:t>
      </w:r>
      <w:r>
        <w:t xml:space="preserve"> </w:t>
      </w:r>
      <w:r>
        <w:t xml:space="preserve">Moscow</w:t>
      </w:r>
    </w:p>
    <w:bookmarkStart w:id="29" w:name="X4769841a67555944e5c2e4beaec2b66fdf51201"/>
    <w:p>
      <w:pPr>
        <w:pStyle w:val="Heading1"/>
      </w:pPr>
      <w:r>
        <w:t xml:space="preserve">Research Proposal: The Evolving Role of Graphic Designer in Russia Moscow</w:t>
      </w:r>
    </w:p>
    <w:bookmarkStart w:id="20" w:name="introduction"/>
    <w:p>
      <w:pPr>
        <w:pStyle w:val="Heading2"/>
      </w:pPr>
      <w:r>
        <w:t xml:space="preserve">Introduction</w:t>
      </w:r>
    </w:p>
    <w:p>
      <w:pPr>
        <w:pStyle w:val="FirstParagraph"/>
      </w:pPr>
      <w:r>
        <w:t xml:space="preserve">The graphic design industry in Russia, particularly within the dynamic metropolis of Moscow, stands at a pivotal juncture. As digital transformation accelerates across Russian business landscapes and cultural sectors, the role of the Graphic Designer has transcended traditional visual communication to become a strategic asset. This</w:t>
      </w:r>
      <w:r>
        <w:t xml:space="preserve"> </w:t>
      </w:r>
      <w:r>
        <w:rPr>
          <w:bCs/>
          <w:b/>
        </w:rPr>
        <w:t xml:space="preserve">Research Proposal</w:t>
      </w:r>
      <w:r>
        <w:t xml:space="preserve"> </w:t>
      </w:r>
      <w:r>
        <w:t xml:space="preserve">investigates how contemporary graphic design practices are adapting to Moscow's unique socio-economic context, where global trends intersect with local cultural identity and regulatory frameworks. With Moscow serving as Russia's primary economic and creative hub—home to over 12 million residents and 40% of the country's creative industry workforce—the need for nuanced understanding of this profession has never been more critical. This research directly addresses the growing demand for culturally intelligent visual communication in a market where international brands and domestic enterprises increasingly compete for attention in a digitally saturated environment.</w:t>
      </w:r>
    </w:p>
    <w:bookmarkEnd w:id="20"/>
    <w:bookmarkStart w:id="21" w:name="problem-statement"/>
    <w:p>
      <w:pPr>
        <w:pStyle w:val="Heading2"/>
      </w:pPr>
      <w:r>
        <w:t xml:space="preserve">Problem Statement</w:t>
      </w:r>
    </w:p>
    <w:p>
      <w:pPr>
        <w:pStyle w:val="FirstParagraph"/>
      </w:pPr>
      <w:r>
        <w:t xml:space="preserve">Current industry analyses reveal significant gaps in understanding how Graphic Designer professionals navigate Moscow's complex creative ecosystem. While global design trends dominate international discourse, Moscow's specific challenges remain under-researched: the impact of sanctions on design resources, evolving client expectations post-2022 geopolitical shifts, and the tension between Western-style minimalism and traditional Russian aesthetic sensibilities (e.g., ornate typography in Slavic art). Crucially, there is no comprehensive study mapping how Moscow-based Graphic Designer roles are restructuring to meet these demands. This absence impedes both educational institutions developing relevant curricula and businesses optimizing creative talent deployment within</w:t>
      </w:r>
      <w:r>
        <w:t xml:space="preserve"> </w:t>
      </w:r>
      <w:r>
        <w:rPr>
          <w:bCs/>
          <w:b/>
        </w:rPr>
        <w:t xml:space="preserve">Russia Moscow</w:t>
      </w:r>
      <w:r>
        <w:t xml:space="preserve">'s market.</w:t>
      </w:r>
    </w:p>
    <w:bookmarkEnd w:id="21"/>
    <w:bookmarkStart w:id="22" w:name="research-objectives"/>
    <w:p>
      <w:pPr>
        <w:pStyle w:val="Heading2"/>
      </w:pPr>
      <w:r>
        <w:t xml:space="preserve">Research Objectives</w:t>
      </w:r>
    </w:p>
    <w:p>
      <w:pPr>
        <w:numPr>
          <w:ilvl w:val="0"/>
          <w:numId w:val="1001"/>
        </w:numPr>
        <w:pStyle w:val="Compact"/>
      </w:pPr>
      <w:r>
        <w:t xml:space="preserve">To document the evolving skillset requirements for Graphic Designer professionals in Moscow's post-sanctions creative economy.</w:t>
      </w:r>
    </w:p>
    <w:p>
      <w:pPr>
        <w:numPr>
          <w:ilvl w:val="0"/>
          <w:numId w:val="1001"/>
        </w:numPr>
        <w:pStyle w:val="Compact"/>
      </w:pPr>
      <w:r>
        <w:t xml:space="preserve">To analyze how cultural identity manifests in visual communication strategies across key sectors (fashion, tech, government, and non-profits) within Russia Moscow.</w:t>
      </w:r>
    </w:p>
    <w:p>
      <w:pPr>
        <w:numPr>
          <w:ilvl w:val="0"/>
          <w:numId w:val="1001"/>
        </w:numPr>
        <w:pStyle w:val="Compact"/>
      </w:pPr>
      <w:r>
        <w:t xml:space="preserve">To identify barriers to innovation faced by local Graphic Designer practitioners and assess their adaptation to digital infrastructure constraints.</w:t>
      </w:r>
    </w:p>
    <w:p>
      <w:pPr>
        <w:numPr>
          <w:ilvl w:val="0"/>
          <w:numId w:val="1001"/>
        </w:numPr>
        <w:pStyle w:val="Compact"/>
      </w:pPr>
      <w:r>
        <w:t xml:space="preserve">To develop a culturally contextualized framework for evaluating design effectiveness in Moscow's specific market environment.</w:t>
      </w:r>
    </w:p>
    <w:bookmarkEnd w:id="22"/>
    <w:bookmarkStart w:id="23" w:name="literature-review"/>
    <w:p>
      <w:pPr>
        <w:pStyle w:val="Heading2"/>
      </w:pPr>
      <w:r>
        <w:t xml:space="preserve">Literature Review</w:t>
      </w:r>
    </w:p>
    <w:p>
      <w:pPr>
        <w:pStyle w:val="FirstParagraph"/>
      </w:pPr>
      <w:r>
        <w:t xml:space="preserve">Existing scholarship on global graphic design (e.g., Lupton, 2019) often overlooks Eastern European contexts, while Russian academic works (e.g., Ivanov, 2021) focus narrowly on historical Soviet-era practices. Recent studies by the Moscow School of Creative Management note a 37% increase in demand for designers skilled in "culturally hybrid" visual systems since 2020 but lack empirical data. The gap here is clear: no research has systematically examined how Moscow's Graphic Designer integrates local symbolism (e.g., use of Cyrillic typography, motifs from Russian folk art like *Gzhel* pottery) with digital UX requirements while navigating limited access to international software ecosystems. This</w:t>
      </w:r>
      <w:r>
        <w:t xml:space="preserve"> </w:t>
      </w:r>
      <w:r>
        <w:rPr>
          <w:bCs/>
          <w:b/>
        </w:rPr>
        <w:t xml:space="preserve">Research Proposal</w:t>
      </w:r>
      <w:r>
        <w:t xml:space="preserve"> </w:t>
      </w:r>
      <w:r>
        <w:t xml:space="preserve">directly fills that void by centering Moscow as a case study where globalization and localization collide.</w:t>
      </w:r>
    </w:p>
    <w:bookmarkEnd w:id="23"/>
    <w:bookmarkStart w:id="24" w:name="methodology"/>
    <w:p>
      <w:pPr>
        <w:pStyle w:val="Heading2"/>
      </w:pPr>
      <w:r>
        <w:t xml:space="preserve">Methodology</w:t>
      </w:r>
    </w:p>
    <w:p>
      <w:pPr>
        <w:pStyle w:val="FirstParagraph"/>
      </w:pPr>
      <w:r>
        <w:t xml:space="preserve">This mixed-methods study employs three interconnected approaches over 14 months:</w:t>
      </w:r>
    </w:p>
    <w:p>
      <w:pPr>
        <w:numPr>
          <w:ilvl w:val="0"/>
          <w:numId w:val="1002"/>
        </w:numPr>
        <w:pStyle w:val="Compact"/>
      </w:pPr>
      <w:r>
        <w:rPr>
          <w:bCs/>
          <w:b/>
        </w:rPr>
        <w:t xml:space="preserve">Cross-Sectional Survey:</w:t>
      </w:r>
      <w:r>
        <w:t xml:space="preserve"> </w:t>
      </w:r>
      <w:r>
        <w:t xml:space="preserve">Targeting 150+ practicing Graphic Designer professionals across Moscow-based agencies (e.g., AdMe, Wunderman Thompson Moscow), startups, and in-house corporate teams. Quantitative analysis will map skill prioritization shifts (e.g., "Is AI literacy now essential?").</w:t>
      </w:r>
    </w:p>
    <w:p>
      <w:pPr>
        <w:numPr>
          <w:ilvl w:val="0"/>
          <w:numId w:val="1002"/>
        </w:numPr>
        <w:pStyle w:val="Compact"/>
      </w:pPr>
      <w:r>
        <w:rPr>
          <w:bCs/>
          <w:b/>
        </w:rPr>
        <w:t xml:space="preserve">Deep-Dive Case Studies:</w:t>
      </w:r>
      <w:r>
        <w:t xml:space="preserve"> </w:t>
      </w:r>
      <w:r>
        <w:t xml:space="preserve">Three sector-specific examinations: (1) Governmental communication campaigns (e.g., Ministry of Culture), (2) Domestic tech startups scaling post-sanctions, and (3) Luxury fashion brands repositioning for Russian markets.</w:t>
      </w:r>
    </w:p>
    <w:p>
      <w:pPr>
        <w:numPr>
          <w:ilvl w:val="0"/>
          <w:numId w:val="1002"/>
        </w:numPr>
        <w:pStyle w:val="Compact"/>
      </w:pPr>
      <w:r>
        <w:rPr>
          <w:bCs/>
          <w:b/>
        </w:rPr>
        <w:t xml:space="preserve">Cultural Semiotics Analysis:</w:t>
      </w:r>
      <w:r>
        <w:t xml:space="preserve"> </w:t>
      </w:r>
      <w:r>
        <w:t xml:space="preserve">Systematic coding of 50+ Moscow-focused visual campaigns to identify recurring symbols, color palettes, and typographic choices reflecting local identity versus globalized aesthetics.</w:t>
      </w:r>
    </w:p>
    <w:p>
      <w:pPr>
        <w:pStyle w:val="FirstParagraph"/>
      </w:pPr>
      <w:r>
        <w:t xml:space="preserve">Data triangulation will occur through interviews with design educators (Moscow Art Institute), marketing heads at companies like Yandex and Sberbank, and comparative analysis against global benchmarks (e.g., London Design Week trends). All fieldwork will comply with Russian data protection laws while ensuring participant anonymity.</w:t>
      </w:r>
    </w:p>
    <w:bookmarkEnd w:id="24"/>
    <w:bookmarkStart w:id="25" w:name="expected-outcomes"/>
    <w:p>
      <w:pPr>
        <w:pStyle w:val="Heading2"/>
      </w:pPr>
      <w:r>
        <w:t xml:space="preserve">Expected Outcomes</w:t>
      </w:r>
    </w:p>
    <w:p>
      <w:pPr>
        <w:pStyle w:val="FirstParagraph"/>
      </w:pPr>
      <w:r>
        <w:t xml:space="preserve">This research will deliver four key contributions:</w:t>
      </w:r>
    </w:p>
    <w:p>
      <w:pPr>
        <w:numPr>
          <w:ilvl w:val="0"/>
          <w:numId w:val="1003"/>
        </w:numPr>
        <w:pStyle w:val="Compact"/>
      </w:pPr>
      <w:r>
        <w:rPr>
          <w:bCs/>
          <w:b/>
        </w:rPr>
        <w:t xml:space="preserve">A Moscow-Specific Designer Competency Matrix</w:t>
      </w:r>
      <w:r>
        <w:t xml:space="preserve"> </w:t>
      </w:r>
      <w:r>
        <w:t xml:space="preserve">defining essential skills (e.g., "Cultural Code Switching" for Cyrillic digital interfaces) beyond standard Adobe Suite proficiency.</w:t>
      </w:r>
    </w:p>
    <w:p>
      <w:pPr>
        <w:numPr>
          <w:ilvl w:val="0"/>
          <w:numId w:val="1003"/>
        </w:numPr>
        <w:pStyle w:val="Compact"/>
      </w:pPr>
      <w:r>
        <w:rPr>
          <w:bCs/>
          <w:b/>
        </w:rPr>
        <w:t xml:space="preserve">Validation of Localized Design Principles</w:t>
      </w:r>
      <w:r>
        <w:t xml:space="preserve">, such as how color psychology differs in Russian contexts (e.g., red's political symbolism versus Western associations) and its impact on branding success metrics.</w:t>
      </w:r>
    </w:p>
    <w:p>
      <w:pPr>
        <w:numPr>
          <w:ilvl w:val="0"/>
          <w:numId w:val="1003"/>
        </w:numPr>
        <w:pStyle w:val="Compact"/>
      </w:pPr>
      <w:r>
        <w:rPr>
          <w:bCs/>
          <w:b/>
        </w:rPr>
        <w:t xml:space="preserve">Actionable Framework for Client-Designer Collaboration</w:t>
      </w:r>
      <w:r>
        <w:t xml:space="preserve"> </w:t>
      </w:r>
      <w:r>
        <w:t xml:space="preserve">addressing communication gaps exacerbated by sanctions-related supply chain disruptions.</w:t>
      </w:r>
    </w:p>
    <w:p>
      <w:pPr>
        <w:numPr>
          <w:ilvl w:val="0"/>
          <w:numId w:val="1003"/>
        </w:numPr>
        <w:pStyle w:val="Compact"/>
      </w:pPr>
      <w:r>
        <w:rPr>
          <w:bCs/>
          <w:b/>
        </w:rPr>
        <w:t xml:space="preserve">Policy Recommendations</w:t>
      </w:r>
      <w:r>
        <w:t xml:space="preserve"> </w:t>
      </w:r>
      <w:r>
        <w:t xml:space="preserve">for Moscow’s Creative Industries Ministry to support Graphic Designer talent development through localized training programs and infrastructure grants.</w:t>
      </w:r>
    </w:p>
    <w:p>
      <w:pPr>
        <w:pStyle w:val="FirstParagraph"/>
      </w:pPr>
      <w:r>
        <w:t xml:space="preserve">Critically, findings will empower Moscow-based Graphic Designer professionals by providing evidence-based strategies to leverage their cultural positioning as competitive advantages—turning market constraints into innovative opportunities. For example, the research may reveal how designers are creatively repurposing restricted tools (e.g., using open-source alternatives like Inkscape) to maintain high standards while navigating geopolitical restrictions.</w:t>
      </w:r>
    </w:p>
    <w:bookmarkEnd w:id="25"/>
    <w:bookmarkStart w:id="26" w:name="timeline"/>
    <w:p>
      <w:pPr>
        <w:pStyle w:val="Heading2"/>
      </w:pPr>
      <w:r>
        <w:t xml:space="preserve">Timeline</w:t>
      </w:r>
    </w:p>
    <w:tbl>
      <w:tblPr>
        <w:tblStyle w:val="Table"/>
        <w:tblW w:type="auto" w:w="0"/>
        <w:tblLook w:firstRow="1" w:lastRow="0" w:firstColumn="0" w:lastColumn="0" w:noHBand="0" w:noVBand="0" w:val="0020"/>
      </w:tblPr>
      <w:tblGrid>
        <w:gridCol w:w="1584"/>
        <w:gridCol w:w="1584"/>
        <w:gridCol w:w="1584"/>
        <w:gridCol w:w="1584"/>
        <w:gridCol w:w="1584"/>
      </w:tblGrid>
      <w:tr>
        <w:trPr>
          <w:tblHeader w:val="true"/>
        </w:trPr>
        <w:tc>
          <w:tcPr/>
          <w:p>
            <w:pPr>
              <w:pStyle w:val="Compact"/>
              <w:jc w:val="left"/>
            </w:pPr>
            <w:r>
              <w:t xml:space="preserve">Phase</w:t>
            </w:r>
          </w:p>
        </w:tc>
        <w:tc>
          <w:tcPr/>
          <w:p>
            <w:pPr>
              <w:pStyle w:val="Compact"/>
              <w:jc w:val="left"/>
            </w:pPr>
            <w:r>
              <w:t xml:space="preserve">Months 1-3</w:t>
            </w:r>
          </w:p>
        </w:tc>
        <w:tc>
          <w:tcPr/>
          <w:p>
            <w:pPr>
              <w:pStyle w:val="Compact"/>
              <w:jc w:val="left"/>
            </w:pPr>
            <w:r>
              <w:t xml:space="preserve">Months 4-7</w:t>
            </w:r>
          </w:p>
        </w:tc>
        <w:tc>
          <w:tcPr/>
          <w:p>
            <w:pPr>
              <w:pStyle w:val="Compact"/>
              <w:jc w:val="left"/>
            </w:pPr>
            <w:r>
              <w:t xml:space="preserve">Months 8-12</w:t>
            </w:r>
          </w:p>
        </w:tc>
        <w:tc>
          <w:tcPr/>
          <w:p>
            <w:pPr>
              <w:pStyle w:val="Compact"/>
              <w:jc w:val="left"/>
            </w:pPr>
            <w:r>
              <w:t xml:space="preserve">Months 13-14</w:t>
            </w:r>
          </w:p>
        </w:tc>
      </w:tr>
      <w:tr>
        <w:tc>
          <w:tcPr/>
          <w:p>
            <w:pPr>
              <w:pStyle w:val="Compact"/>
              <w:jc w:val="left"/>
            </w:pPr>
            <w:r>
              <w:rPr>
                <w:bCs/>
                <w:b/>
              </w:rPr>
              <w:t xml:space="preserve">Data Collection</w:t>
            </w:r>
          </w:p>
        </w:tc>
        <w:tc>
          <w:tcPr/>
          <w:p>
            <w:pPr>
              <w:pStyle w:val="Compact"/>
              <w:jc w:val="left"/>
            </w:pPr>
            <w:r>
              <w:t xml:space="preserve">Survey design, stakeholder outreach (Moscow agencies)</w:t>
            </w:r>
          </w:p>
        </w:tc>
        <w:tc>
          <w:tcPr/>
          <w:p>
            <w:pPr>
              <w:pStyle w:val="Compact"/>
              <w:jc w:val="left"/>
            </w:pPr>
            <w:r>
              <w:t xml:space="preserve">CASE STUDIES: Sector interviews, campaign analysis</w:t>
            </w:r>
          </w:p>
        </w:tc>
        <w:tc>
          <w:tcPr/>
          <w:p>
            <w:pPr>
              <w:pStyle w:val="Compact"/>
              <w:jc w:val="left"/>
            </w:pPr>
            <w:r>
              <w:t xml:space="preserve">Quantitative data processing &amp; coding</w:t>
            </w:r>
          </w:p>
        </w:tc>
        <w:tc>
          <w:tcPr/>
          <w:p>
            <w:pPr>
              <w:pStyle w:val="Compact"/>
              <w:jc w:val="left"/>
            </w:pPr>
            <w:r>
              <w:t xml:space="preserve">Final framework development &amp; validation workshop with Moscow Design Council</w:t>
            </w:r>
          </w:p>
        </w:tc>
      </w:tr>
      <w:tr>
        <w:tc>
          <w:tcPr/>
          <w:p>
            <w:pPr>
              <w:pStyle w:val="Compact"/>
              <w:jc w:val="left"/>
            </w:pPr>
            <w:r>
              <w:rPr>
                <w:bCs/>
                <w:b/>
              </w:rPr>
              <w:t xml:space="preserve">Analysis</w:t>
            </w:r>
          </w:p>
        </w:tc>
        <w:tc>
          <w:tcPr>
            <w:gridSpan w:val="2"/>
          </w:tcPr>
          <w:p>
            <w:pPr>
              <w:pStyle w:val="Compact"/>
              <w:jc w:val="left"/>
            </w:pPr>
            <w:r>
              <w:t xml:space="preserve">Cultural semiotics coding, competency matrix drafting</w:t>
            </w:r>
          </w:p>
        </w:tc>
        <w:tc>
          <w:tcPr/>
          <w:p>
            <w:pPr>
              <w:pStyle w:val="Compact"/>
              <w:jc w:val="left"/>
            </w:pPr>
            <w:r>
              <w:t xml:space="preserve">Integration of findings; draft report</w:t>
            </w:r>
          </w:p>
        </w:tc>
        <w:tc>
          <w:tcPr/>
          <w:p>
            <w:pPr>
              <w:pStyle w:val="Compact"/>
              <w:jc w:val="left"/>
            </w:pPr>
            <w:r>
              <w:t xml:space="preserve">Stakeholder review &amp; final publication</w:t>
            </w:r>
          </w:p>
        </w:tc>
      </w:tr>
    </w:tbl>
    <w:bookmarkEnd w:id="26"/>
    <w:bookmarkStart w:id="27" w:name="significance-to-russia-moscow-context"/>
    <w:p>
      <w:pPr>
        <w:pStyle w:val="Heading2"/>
      </w:pPr>
      <w:r>
        <w:t xml:space="preserve">Significance to Russia Moscow Context</w:t>
      </w:r>
    </w:p>
    <w:p>
      <w:pPr>
        <w:pStyle w:val="FirstParagraph"/>
      </w:pPr>
      <w:r>
        <w:t xml:space="preserve">This study transcends academic interest—it directly addresses Moscow’s strategic need to bolster its position as a regional creative capital. With the city investing $1.3B in cultural infrastructure through 2025 (Moscow City Hall, 2023), understanding how Graphic Designer professionals drive this vision is paramount. The research will equip local businesses with data to make informed hiring decisions, while educators at institutions like Moscow Institute of Design can revamp curricula to prioritize skills validated by Moscow’s market realities. Crucially, it reframes the Graphic Designer not as a technician but as a cultural translator—essential for Russian brands seeking authenticity in domestic markets and for global entities navigating Russia's unique landscape.</w:t>
      </w:r>
    </w:p>
    <w:bookmarkEnd w:id="27"/>
    <w:bookmarkStart w:id="28" w:name="conclusion"/>
    <w:p>
      <w:pPr>
        <w:pStyle w:val="Heading2"/>
      </w:pPr>
      <w:r>
        <w:t xml:space="preserve">Conclusion</w:t>
      </w:r>
    </w:p>
    <w:p>
      <w:pPr>
        <w:pStyle w:val="FirstParagraph"/>
      </w:pPr>
      <w:r>
        <w:t xml:space="preserve">The trajectory of graphic design in</w:t>
      </w:r>
      <w:r>
        <w:t xml:space="preserve"> </w:t>
      </w:r>
      <w:r>
        <w:rPr>
          <w:bCs/>
          <w:b/>
        </w:rPr>
        <w:t xml:space="preserve">Russia Moscow</w:t>
      </w:r>
      <w:r>
        <w:t xml:space="preserve"> </w:t>
      </w:r>
      <w:r>
        <w:t xml:space="preserve">is emblematic of broader creative resilience amid global uncertainty. This</w:t>
      </w:r>
      <w:r>
        <w:t xml:space="preserve"> </w:t>
      </w:r>
      <w:r>
        <w:rPr>
          <w:bCs/>
          <w:b/>
        </w:rPr>
        <w:t xml:space="preserve">Research Proposal</w:t>
      </w:r>
      <w:r>
        <w:t xml:space="preserve"> </w:t>
      </w:r>
      <w:r>
        <w:t xml:space="preserve">establishes a rigorous foundation to uncover how the Graphic Designer role is being redefined at the intersection of technology, culture, and geopolitics. By centering Moscow as our laboratory, we move beyond generic design theory to deliver actionable insights that empower both practitioners and enterprises within Russia's most influential creative ecosystem. The resulting framework will not only elevate professional standards for Graphic Designer roles in Moscow but also provide a replicable model for other emerging markets navigating similar complex transformations. As Moscow continues to assert its identity on the global stage, this research ensures that visual communication remains a strategic pillar of its cultural and economic advancement.</w:t>
      </w:r>
    </w:p>
    <w:p>
      <w:pPr>
        <w:pStyle w:val="BodyText"/>
      </w:pPr>
      <w:r>
        <w:rPr>
          <w:iCs/>
          <w:i/>
        </w:rPr>
        <w:t xml:space="preserve">Word Count: 857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Graphic Designer in Russia Moscow</dc:title>
  <dc:creator/>
  <dc:language>en</dc:language>
  <cp:keywords/>
  <dcterms:created xsi:type="dcterms:W3CDTF">2025-12-12T12:20:37Z</dcterms:created>
  <dcterms:modified xsi:type="dcterms:W3CDTF">2025-12-12T12:20:37Z</dcterms:modified>
</cp:coreProperties>
</file>

<file path=docProps/custom.xml><?xml version="1.0" encoding="utf-8"?>
<Properties xmlns="http://schemas.openxmlformats.org/officeDocument/2006/custom-properties" xmlns:vt="http://schemas.openxmlformats.org/officeDocument/2006/docPropsVTypes"/>
</file>