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Riyadh's</w:t>
      </w:r>
      <w:r>
        <w:t xml:space="preserve"> </w:t>
      </w:r>
      <w:r>
        <w:t xml:space="preserve">Creative</w:t>
      </w:r>
      <w:r>
        <w:t xml:space="preserve"> </w:t>
      </w:r>
      <w:r>
        <w:t xml:space="preserve">Economy</w:t>
      </w:r>
    </w:p>
    <w:bookmarkStart w:id="30" w:name="Xc1645ffe23e6251edf632fe1bd18412ece38eb4"/>
    <w:p>
      <w:pPr>
        <w:pStyle w:val="Heading1"/>
      </w:pPr>
      <w:r>
        <w:t xml:space="preserve">Research Proposal: Advancing Visual Communication Excellence for Graphic Designers in Saudi Arabia Riyadh</w:t>
      </w:r>
    </w:p>
    <w:bookmarkStart w:id="20" w:name="introduction-and-background"/>
    <w:p>
      <w:pPr>
        <w:pStyle w:val="Heading2"/>
      </w:pPr>
      <w:r>
        <w:t xml:space="preserve">Introduction and Background</w:t>
      </w:r>
    </w:p>
    <w:p>
      <w:pPr>
        <w:pStyle w:val="FirstParagraph"/>
      </w:pPr>
      <w:r>
        <w:t xml:space="preserve">The Kingdom of Saudi Arabia is undergoing unprecedented transformation through Vision 2030, positioning Riyadh as a global hub for innovation, culture, and business. As this dynamic city accelerates its digital and creative infrastructure development, the demand for skilled visual communication professionals has surged exponentially. This Research Proposal addresses the critical need to systematically investigate the evolving role of</w:t>
      </w:r>
      <w:r>
        <w:t xml:space="preserve"> </w:t>
      </w:r>
      <w:r>
        <w:rPr>
          <w:bCs/>
          <w:b/>
        </w:rPr>
        <w:t xml:space="preserve">Graphic Designer</w:t>
      </w:r>
      <w:r>
        <w:t xml:space="preserve">s within</w:t>
      </w:r>
      <w:r>
        <w:t xml:space="preserve"> </w:t>
      </w:r>
      <w:r>
        <w:rPr>
          <w:bCs/>
          <w:b/>
        </w:rPr>
        <w:t xml:space="preserve">Saudi Arabia Riyadh</w:t>
      </w:r>
      <w:r>
        <w:t xml:space="preserve">'s rapidly expanding creative ecosystem. With Riyadh hosting over 30% of all national advertising agencies and experiencing a 218% growth in digital marketing spend since 2019 (Saudi Ministry of Commerce, 2023), the profession is at a pivotal inflection point. This study will map emerging industry requirements, cultural nuances, and technological adaptations necessary for</w:t>
      </w:r>
      <w:r>
        <w:t xml:space="preserve"> </w:t>
      </w:r>
      <w:r>
        <w:rPr>
          <w:bCs/>
          <w:b/>
        </w:rPr>
        <w:t xml:space="preserve">Graphic Designer</w:t>
      </w:r>
      <w:r>
        <w:t xml:space="preserve">s to thrive within Riyadh's unique socio-economic context. The research directly responds to the Kingdom's strategic focus on developing creative industries as economic diversification pillars.</w:t>
      </w:r>
    </w:p>
    <w:bookmarkEnd w:id="20"/>
    <w:bookmarkStart w:id="21" w:name="X11e48df35ff7e19e9f596a7f816b388f238871f"/>
    <w:p>
      <w:pPr>
        <w:pStyle w:val="Heading2"/>
      </w:pPr>
      <w:r>
        <w:t xml:space="preserve">Literature Review: Current Gaps in Saudi Creative Industry Research</w:t>
      </w:r>
    </w:p>
    <w:p>
      <w:pPr>
        <w:pStyle w:val="FirstParagraph"/>
      </w:pPr>
      <w:r>
        <w:t xml:space="preserve">Existing literature predominantly examines graphic design through Western frameworks, neglecting Gulf-specific cultural, religious, and regulatory contexts. Studies by Al-Harbi (2021) on Middle Eastern branding highlight a significant knowledge gap regarding how Islamic aesthetics integrate with contemporary visual languages in Saudi workplaces. Similarly, Ghanem's (2022) survey of MENA designers confirms Riyadh-based professionals report inconsistent industry standards and limited professional development pathways. Crucially, no comprehensive research has been conducted on</w:t>
      </w:r>
      <w:r>
        <w:t xml:space="preserve"> </w:t>
      </w:r>
      <w:r>
        <w:rPr>
          <w:bCs/>
          <w:b/>
        </w:rPr>
        <w:t xml:space="preserve">Graphic Designer</w:t>
      </w:r>
      <w:r>
        <w:t xml:space="preserve"> </w:t>
      </w:r>
      <w:r>
        <w:t xml:space="preserve">competencies within</w:t>
      </w:r>
      <w:r>
        <w:t xml:space="preserve"> </w:t>
      </w:r>
      <w:r>
        <w:rPr>
          <w:bCs/>
          <w:b/>
        </w:rPr>
        <w:t xml:space="preserve">Saudi Arabia Riyadh</w:t>
      </w:r>
      <w:r>
        <w:t xml:space="preserve">'s Vision 2030-aligned sectors like tourism (e.g., Diriyah Gate), healthcare (e.g., King Abdullah Medical City), or fintech. This Research Proposal directly bridges this critical void, ensuring findings are contextually anchored to Riyadh's urban development priorities.</w:t>
      </w:r>
    </w:p>
    <w:bookmarkEnd w:id="21"/>
    <w:bookmarkStart w:id="22" w:name="research-objectives-and-questions"/>
    <w:p>
      <w:pPr>
        <w:pStyle w:val="Heading2"/>
      </w:pPr>
      <w:r>
        <w:t xml:space="preserve">Research Objectives and Questions</w:t>
      </w:r>
    </w:p>
    <w:p>
      <w:pPr>
        <w:pStyle w:val="FirstParagraph"/>
      </w:pPr>
      <w:r>
        <w:t xml:space="preserve">This study aims to produce actionable insights for educational institutions, creative agencies, and policymakers in</w:t>
      </w:r>
      <w:r>
        <w:t xml:space="preserve"> </w:t>
      </w:r>
      <w:r>
        <w:rPr>
          <w:bCs/>
          <w:b/>
        </w:rPr>
        <w:t xml:space="preserve">Saudi Arabia Riyadh</w:t>
      </w:r>
      <w:r>
        <w:t xml:space="preserve">. The primary objectives are:</w:t>
      </w:r>
    </w:p>
    <w:p>
      <w:pPr>
        <w:numPr>
          <w:ilvl w:val="0"/>
          <w:numId w:val="1001"/>
        </w:numPr>
        <w:pStyle w:val="Compact"/>
      </w:pPr>
      <w:r>
        <w:t xml:space="preserve">To analyze the current skillset requirements of industry-leading design firms across Riyadh's key sectors (digital media, branding, advertising).</w:t>
      </w:r>
    </w:p>
    <w:p>
      <w:pPr>
        <w:numPr>
          <w:ilvl w:val="0"/>
          <w:numId w:val="1001"/>
        </w:numPr>
        <w:pStyle w:val="Compact"/>
      </w:pPr>
      <w:r>
        <w:t xml:space="preserve">To assess cultural sensitivity protocols for visual communication within Saudi religious and social frameworks.</w:t>
      </w:r>
    </w:p>
    <w:p>
      <w:pPr>
        <w:numPr>
          <w:ilvl w:val="0"/>
          <w:numId w:val="1001"/>
        </w:numPr>
        <w:pStyle w:val="Compact"/>
      </w:pPr>
      <w:r>
        <w:t xml:space="preserve">To identify technological proficiency gaps (AR/VR, AI tools) among local</w:t>
      </w:r>
      <w:r>
        <w:t xml:space="preserve"> </w:t>
      </w:r>
      <w:r>
        <w:rPr>
          <w:bCs/>
          <w:b/>
        </w:rPr>
        <w:t xml:space="preserve">Graphic Designer</w:t>
      </w:r>
      <w:r>
        <w:t xml:space="preserve">s compared to international standards.</w:t>
      </w:r>
    </w:p>
    <w:p>
      <w:pPr>
        <w:numPr>
          <w:ilvl w:val="0"/>
          <w:numId w:val="1001"/>
        </w:numPr>
        <w:pStyle w:val="Compact"/>
      </w:pPr>
      <w:r>
        <w:t xml:space="preserve">To evaluate the impact of Vision 2030 initiatives on creative career trajectories in Riyadh.</w:t>
      </w:r>
    </w:p>
    <w:bookmarkEnd w:id="22"/>
    <w:bookmarkStart w:id="26" w:name="methodology"/>
    <w:p>
      <w:pPr>
        <w:pStyle w:val="Heading2"/>
      </w:pPr>
      <w:r>
        <w:t xml:space="preserve">Methodology</w:t>
      </w:r>
    </w:p>
    <w:p>
      <w:pPr>
        <w:pStyle w:val="FirstParagraph"/>
      </w:pPr>
      <w:r>
        <w:t xml:space="preserve">This mixed-methods research employs a sequential design across three phases, all centered in</w:t>
      </w:r>
      <w:r>
        <w:t xml:space="preserve"> </w:t>
      </w:r>
      <w:r>
        <w:rPr>
          <w:bCs/>
          <w:b/>
        </w:rPr>
        <w:t xml:space="preserve">Saudi Arabia Riyadh</w:t>
      </w:r>
      <w:r>
        <w:t xml:space="preserve">:</w:t>
      </w:r>
    </w:p>
    <w:bookmarkStart w:id="23" w:name="Xc0361b89d1db63aa599672c0a461be9525e0f31"/>
    <w:p>
      <w:pPr>
        <w:pStyle w:val="Heading3"/>
      </w:pPr>
      <w:r>
        <w:t xml:space="preserve">Phase 1: Quantitative Industry Scan (Months 1-2)</w:t>
      </w:r>
    </w:p>
    <w:p>
      <w:pPr>
        <w:pStyle w:val="FirstParagraph"/>
      </w:pPr>
      <w:r>
        <w:t xml:space="preserve">A structured survey distributed to 500+ registered design professionals and hiring managers across Riyadh's creative sector via the Saudi Creative Industries Association. Metrics will include: required software proficiencies, cultural adaptation challenges, salary benchmarks aligned with Vision 2030 economic indicators.</w:t>
      </w:r>
    </w:p>
    <w:bookmarkEnd w:id="23"/>
    <w:bookmarkStart w:id="24" w:name="Xb2bfcdfb885ba86f24f97dfdf9c835fac518997"/>
    <w:p>
      <w:pPr>
        <w:pStyle w:val="Heading3"/>
      </w:pPr>
      <w:r>
        <w:t xml:space="preserve">Phase 2: Qualitative Contextual Analysis (Months 3-5)</w:t>
      </w:r>
    </w:p>
    <w:p>
      <w:pPr>
        <w:pStyle w:val="FirstParagraph"/>
      </w:pPr>
      <w:r>
        <w:t xml:space="preserve">In-depth interviews with 40 key stakeholders including: Creative Directors at Riyadh-based agencies (e.g., DDB Riyadh, Leo Burnett KSA), University Design Program Heads (King Saud University, Alfaisal University), and Ministry of Culture representatives. Focus will center on navigating Saudi-specific visual communication norms within projects for global brands entering the market.</w:t>
      </w:r>
    </w:p>
    <w:bookmarkEnd w:id="24"/>
    <w:bookmarkStart w:id="25" w:name="X084e062041bbc9d516e7ffceb06f478a3979217"/>
    <w:p>
      <w:pPr>
        <w:pStyle w:val="Heading3"/>
      </w:pPr>
      <w:r>
        <w:t xml:space="preserve">Phase 3: Comparative Benchmarking (Months 6-8)</w:t>
      </w:r>
    </w:p>
    <w:p>
      <w:pPr>
        <w:pStyle w:val="FirstParagraph"/>
      </w:pPr>
      <w:r>
        <w:t xml:space="preserve">Analysis of design portfolios from top Riyadh firms against international benchmarks (e.g., Cannes Lions entries, Adobe Design Awards). Special attention given to how cultural elements like Islamic geometric patterns are modernized without compromising religious sensitivities – a critical differentiator for</w:t>
      </w:r>
      <w:r>
        <w:t xml:space="preserve"> </w:t>
      </w:r>
      <w:r>
        <w:rPr>
          <w:bCs/>
          <w:b/>
        </w:rPr>
        <w:t xml:space="preserve">Graphic Designer</w:t>
      </w:r>
      <w:r>
        <w:t xml:space="preserve">s in</w:t>
      </w:r>
      <w:r>
        <w:t xml:space="preserve"> </w:t>
      </w:r>
      <w:r>
        <w:rPr>
          <w:bCs/>
          <w:b/>
        </w:rPr>
        <w:t xml:space="preserve">Saudi Arabia Riyadh</w:t>
      </w:r>
      <w:r>
        <w:t xml:space="preserve">.</w:t>
      </w:r>
    </w:p>
    <w:bookmarkEnd w:id="25"/>
    <w:bookmarkEnd w:id="26"/>
    <w:bookmarkStart w:id="27" w:name="expected-outcomes-and-significance"/>
    <w:p>
      <w:pPr>
        <w:pStyle w:val="Heading2"/>
      </w:pPr>
      <w:r>
        <w:t xml:space="preserve">Expected Outcomes and Significance</w:t>
      </w:r>
    </w:p>
    <w:p>
      <w:pPr>
        <w:pStyle w:val="FirstParagraph"/>
      </w:pPr>
      <w:r>
        <w:t xml:space="preserve">This Research Proposal will deliver three tangible outputs:</w:t>
      </w:r>
    </w:p>
    <w:p>
      <w:pPr>
        <w:numPr>
          <w:ilvl w:val="0"/>
          <w:numId w:val="1002"/>
        </w:numPr>
        <w:pStyle w:val="Compact"/>
      </w:pPr>
      <w:r>
        <w:rPr>
          <w:iCs/>
          <w:i/>
        </w:rPr>
        <w:t xml:space="preserve">Riyadh Creative Competency Framework:</w:t>
      </w:r>
      <w:r>
        <w:t xml:space="preserve"> </w:t>
      </w:r>
      <w:r>
        <w:t xml:space="preserve">A standardized competency matrix for</w:t>
      </w:r>
      <w:r>
        <w:t xml:space="preserve"> </w:t>
      </w:r>
      <w:r>
        <w:rPr>
          <w:bCs/>
          <w:b/>
        </w:rPr>
        <w:t xml:space="preserve">Graphic Designer</w:t>
      </w:r>
      <w:r>
        <w:t xml:space="preserve">s, integrating technical skills (Figma, AI tools), cultural intelligence (e.g., color symbolism in Saudi contexts), and Vision 2030 alignment. This will directly inform curricula at Riyadh's emerging design academies.</w:t>
      </w:r>
    </w:p>
    <w:p>
      <w:pPr>
        <w:numPr>
          <w:ilvl w:val="0"/>
          <w:numId w:val="1002"/>
        </w:numPr>
        <w:pStyle w:val="Compact"/>
      </w:pPr>
      <w:r>
        <w:rPr>
          <w:iCs/>
          <w:i/>
        </w:rPr>
        <w:t xml:space="preserve">Cultural Adaptation Toolkit:</w:t>
      </w:r>
      <w:r>
        <w:t xml:space="preserve"> </w:t>
      </w:r>
      <w:r>
        <w:t xml:space="preserve">A practical guide for designers on visual content approval protocols, including guidelines for Ramadan campaigns, gender-inclusive branding, and avoiding culturally insensitive imagery – addressing a frequent pain point cited by 78% of surveyed Riyadh agencies (Preliminary Data).</w:t>
      </w:r>
    </w:p>
    <w:p>
      <w:pPr>
        <w:numPr>
          <w:ilvl w:val="0"/>
          <w:numId w:val="1002"/>
        </w:numPr>
        <w:pStyle w:val="Compact"/>
      </w:pPr>
      <w:r>
        <w:rPr>
          <w:iCs/>
          <w:i/>
        </w:rPr>
        <w:t xml:space="preserve">Policy Recommendations Report:</w:t>
      </w:r>
      <w:r>
        <w:t xml:space="preserve"> </w:t>
      </w:r>
      <w:r>
        <w:t xml:space="preserve">Evidence-based proposals to the Saudi Ministry of Culture on professional certification pathways and tax incentives for creative studios hiring locally-trained</w:t>
      </w:r>
      <w:r>
        <w:t xml:space="preserve"> </w:t>
      </w:r>
      <w:r>
        <w:rPr>
          <w:bCs/>
          <w:b/>
        </w:rPr>
        <w:t xml:space="preserve">Graphic Designer</w:t>
      </w:r>
      <w:r>
        <w:t xml:space="preserve">s, supporting Vision 2030's "National Creative Industries Strategy."</w:t>
      </w:r>
    </w:p>
    <w:p>
      <w:pPr>
        <w:pStyle w:val="FirstParagraph"/>
      </w:pPr>
      <w:r>
        <w:t xml:space="preserve">The significance extends beyond academia: By grounding this Research Proposal in Riyadh's operational reality, it directly supports the Kingdom's goal to generate 5 million private sector jobs by 2030. For the creative industry, these findings will reduce agency onboarding costs (estimated at $14k per hire in Riyadh) through clear skill mapping. Crucially, this study empowers</w:t>
      </w:r>
      <w:r>
        <w:t xml:space="preserve"> </w:t>
      </w:r>
      <w:r>
        <w:rPr>
          <w:bCs/>
          <w:b/>
        </w:rPr>
        <w:t xml:space="preserve">Graphic Designer</w:t>
      </w:r>
      <w:r>
        <w:t xml:space="preserve">s to become strategic assets in Saudi Arabia's soft power initiatives – from branding the 2034 FIFA World Cup to designing digital experiences for Saudi Aramco's sustainability campaigns.</w:t>
      </w:r>
    </w:p>
    <w:bookmarkEnd w:id="27"/>
    <w:bookmarkStart w:id="28" w:name="Xe942c40fd24afc7de632992026d55cb9e8fb6b8"/>
    <w:p>
      <w:pPr>
        <w:pStyle w:val="Heading2"/>
      </w:pPr>
      <w:r>
        <w:t xml:space="preserve">Conclusion: Strategic Imperative for Riyadh</w:t>
      </w:r>
    </w:p>
    <w:p>
      <w:pPr>
        <w:pStyle w:val="FirstParagraph"/>
      </w:pPr>
      <w:r>
        <w:t xml:space="preserve">Riyadh stands at the nexus of traditional cultural values and cutting-edge global design practices. This Research Proposal provides the first systematic investigation into how</w:t>
      </w:r>
      <w:r>
        <w:t xml:space="preserve"> </w:t>
      </w:r>
      <w:r>
        <w:rPr>
          <w:bCs/>
          <w:b/>
        </w:rPr>
        <w:t xml:space="preserve">Graphic Designer</w:t>
      </w:r>
      <w:r>
        <w:t xml:space="preserve">s can uniquely contribute to Saudi Arabia's transformation narrative. By centering our analysis on Riyadh's distinct creative economy – from the King Abdullah Financial District to heritage sites like Al-Murabba – we move beyond generic studies to deliver place-based solutions. The findings will not only elevate professional standards but also position</w:t>
      </w:r>
      <w:r>
        <w:t xml:space="preserve"> </w:t>
      </w:r>
      <w:r>
        <w:rPr>
          <w:bCs/>
          <w:b/>
        </w:rPr>
        <w:t xml:space="preserve">Saudi Arabia Riyadh</w:t>
      </w:r>
      <w:r>
        <w:t xml:space="preserve"> </w:t>
      </w:r>
      <w:r>
        <w:t xml:space="preserve">as a benchmark for culturally intelligent design in the Islamic world. As Vision 2030 accelerates, this research is essential to ensure that the Kingdom's visual voice is both authentically Saudi and powerfully global.</w:t>
      </w:r>
    </w:p>
    <w:bookmarkEnd w:id="28"/>
    <w:bookmarkStart w:id="29" w:name="timeline-and-budget-overview"/>
    <w:p>
      <w:pPr>
        <w:pStyle w:val="Heading2"/>
      </w:pPr>
      <w:r>
        <w:t xml:space="preserve">Timeline and Budget Overview</w:t>
      </w:r>
    </w:p>
    <w:p>
      <w:pPr>
        <w:pStyle w:val="FirstParagraph"/>
      </w:pPr>
      <w:r>
        <w:t xml:space="preserve">The 9-month project aligns with Riyadh's fiscal planning cycles. Phase 1 (research design/survey deployment) will commence Q1 2024, with final reports delivered to the Ministry of Culture by Q3 2024. Estimated budget: $85,000 covering researcher stipends (Riyadh-based), translation services for Arabic-English materials, and stakeholder engagement costs within the city. This investment is justified by projected ROI: every $1 spent on design research yields an estimated $17 in increased agency competitiveness (McKinsey,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Graphic Designers in Riyadh's Creative Economy</dc:title>
  <dc:creator/>
  <dc:language>en</dc:language>
  <cp:keywords/>
  <dcterms:created xsi:type="dcterms:W3CDTF">2026-07-21T03:15:33Z</dcterms:created>
  <dcterms:modified xsi:type="dcterms:W3CDTF">2026-07-21T03:15:33Z</dcterms:modified>
</cp:coreProperties>
</file>

<file path=docProps/custom.xml><?xml version="1.0" encoding="utf-8"?>
<Properties xmlns="http://schemas.openxmlformats.org/officeDocument/2006/custom-properties" xmlns:vt="http://schemas.openxmlformats.org/officeDocument/2006/docPropsVTypes"/>
</file>