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b624ab48712cb8831d40c3055f567ce57909cba"/>
    <w:p>
      <w:pPr>
        <w:pStyle w:val="Heading1"/>
      </w:pPr>
      <w:r>
        <w:t xml:space="preserve">Research Proposal: Strategic Development of Graphic Design Practices for the United Arab Emirates Abu Dhabi Market</w:t>
      </w:r>
    </w:p>
    <w:bookmarkStart w:id="20" w:name="introduction-and-background"/>
    <w:p>
      <w:pPr>
        <w:pStyle w:val="Heading2"/>
      </w:pPr>
      <w:r>
        <w:t xml:space="preserve">Introduction and Background</w:t>
      </w:r>
    </w:p>
    <w:p>
      <w:pPr>
        <w:pStyle w:val="FirstParagraph"/>
      </w:pPr>
      <w:r>
        <w:t xml:space="preserve">The United Arab Emirates, particularly Abu Dhabi as its political and cultural capital, has emerged as a global hub for innovation and aesthetic excellence. As the emirate accelerates its vision toward becoming a leading destination for art, culture, and digital transformation, the role of the</w:t>
      </w:r>
      <w:r>
        <w:t xml:space="preserve"> </w:t>
      </w:r>
      <w:r>
        <w:rPr>
          <w:bCs/>
          <w:b/>
        </w:rPr>
        <w:t xml:space="preserve">Graphic Designer</w:t>
      </w:r>
      <w:r>
        <w:t xml:space="preserve"> </w:t>
      </w:r>
      <w:r>
        <w:t xml:space="preserve">has evolved beyond traditional branding into a strategic business asset. This</w:t>
      </w:r>
      <w:r>
        <w:t xml:space="preserve"> </w:t>
      </w:r>
      <w:r>
        <w:rPr>
          <w:iCs/>
          <w:i/>
        </w:rPr>
        <w:t xml:space="preserve">Research Proposal</w:t>
      </w:r>
      <w:r>
        <w:t xml:space="preserve"> </w:t>
      </w:r>
      <w:r>
        <w:t xml:space="preserve">addresses the critical need to establish culturally nuanced design frameworks tailored to Abu Dhabi's unique market dynamics within the United Arab Emirates context. With Abu Dhabi's economy diversifying beyond oil and its ambitious initiatives like "Abu Dhabi Vision 2030" emphasizing cultural preservation and digital innovation, this research seeks to define best practices for</w:t>
      </w:r>
      <w:r>
        <w:t xml:space="preserve"> </w:t>
      </w:r>
      <w:r>
        <w:rPr>
          <w:bCs/>
          <w:b/>
        </w:rPr>
        <w:t xml:space="preserve">Graphic Designer</w:t>
      </w:r>
      <w:r>
        <w:t xml:space="preserve">s operating in this high-stakes environment.</w:t>
      </w:r>
    </w:p>
    <w:bookmarkEnd w:id="20"/>
    <w:bookmarkStart w:id="21" w:name="research-problem-statement"/>
    <w:p>
      <w:pPr>
        <w:pStyle w:val="Heading2"/>
      </w:pPr>
      <w:r>
        <w:t xml:space="preserve">Research Problem Statement</w:t>
      </w:r>
    </w:p>
    <w:p>
      <w:pPr>
        <w:pStyle w:val="FirstParagraph"/>
      </w:pPr>
      <w:r>
        <w:t xml:space="preserve">Despite Abu Dhabi's rapid urban development and growing creative sector, a significant gap exists between international design standards and locally adaptive graphic design solutions. Current practice often relies on imported Western aesthetics that fail to resonate with the Emirati cultural ethos or leverage local narratives. This disconnect manifests in marketing campaigns that lack authentic connection with UAE audiences, resulting in diminished brand equity for both public institutions and private enterprises. The absence of a localized</w:t>
      </w:r>
      <w:r>
        <w:t xml:space="preserve"> </w:t>
      </w:r>
      <w:r>
        <w:rPr>
          <w:iCs/>
          <w:i/>
        </w:rPr>
        <w:t xml:space="preserve">Research Proposal</w:t>
      </w:r>
      <w:r>
        <w:t xml:space="preserve"> </w:t>
      </w:r>
      <w:r>
        <w:t xml:space="preserve">specifically addressing the intersection of Arabic visual language, Islamic design principles, and contemporary digital interfaces creates operational inefficiencies for businesses across Abu Dhabi's tourism, government services, luxury retail, and technology sectors.</w:t>
      </w:r>
    </w:p>
    <w:bookmarkEnd w:id="21"/>
    <w:bookmarkStart w:id="22" w:name="research-objectives"/>
    <w:p>
      <w:pPr>
        <w:pStyle w:val="Heading2"/>
      </w:pPr>
      <w:r>
        <w:t xml:space="preserve">Research Objectives</w:t>
      </w:r>
    </w:p>
    <w:p>
      <w:pPr>
        <w:numPr>
          <w:ilvl w:val="0"/>
          <w:numId w:val="1001"/>
        </w:numPr>
        <w:pStyle w:val="Compact"/>
      </w:pPr>
      <w:r>
        <w:t xml:space="preserve">To analyze the cultural semiotics of visual communication in the United Arab Emirates Abu Dhabi context</w:t>
      </w:r>
    </w:p>
    <w:p>
      <w:pPr>
        <w:numPr>
          <w:ilvl w:val="0"/>
          <w:numId w:val="1001"/>
        </w:numPr>
        <w:pStyle w:val="Compact"/>
      </w:pPr>
      <w:r>
        <w:t xml:space="preserve">To develop a framework integrating Islamic geometric patterns, Arabic calligraphy, and modern design principles for contemporary applications</w:t>
      </w:r>
    </w:p>
    <w:p>
      <w:pPr>
        <w:numPr>
          <w:ilvl w:val="0"/>
          <w:numId w:val="1001"/>
        </w:numPr>
        <w:pStyle w:val="Compact"/>
      </w:pPr>
      <w:r>
        <w:t xml:space="preserve">To propose a certification model for culturally competent Graphic Designer services aligned with Abu Dhabi's economic diversification goals</w:t>
      </w:r>
    </w:p>
    <w:bookmarkEnd w:id="22"/>
    <w:bookmarkStart w:id="26" w:name="methodology"/>
    <w:p>
      <w:pPr>
        <w:pStyle w:val="Heading2"/>
      </w:pPr>
      <w:r>
        <w:t xml:space="preserve">Methodology</w:t>
      </w:r>
    </w:p>
    <w:p>
      <w:pPr>
        <w:pStyle w:val="FirstParagraph"/>
      </w:pPr>
      <w:r>
        <w:t xml:space="preserve">This mixed-methods study will employ a three-phase approach conducted within the United Arab Emirates Abu Dhabi ecosystem:</w:t>
      </w:r>
    </w:p>
    <w:bookmarkStart w:id="23" w:name="Xa91cd580fdd9350d150874c8a2c0e9cbc0b2f12"/>
    <w:p>
      <w:pPr>
        <w:pStyle w:val="Heading3"/>
      </w:pPr>
      <w:r>
        <w:t xml:space="preserve">Phase 1: Cultural Semiotics Analysis (Months 1-3)</w:t>
      </w:r>
    </w:p>
    <w:p>
      <w:pPr>
        <w:pStyle w:val="FirstParagraph"/>
      </w:pPr>
      <w:r>
        <w:t xml:space="preserve">Conduct in-depth case studies of successful and unsuccessful visual campaigns across Abu Dhabi's key sectors. This includes analyzing government initiatives like "Taste of Abu Dhabi," luxury brands such as Al Faya Resort, and digital platforms like Etihad Airways' Arabic interface. We will map cultural symbols (e.g., palm trees, falcons, traditional patterns) against consumer response metrics to identify culturally resonant elements.</w:t>
      </w:r>
    </w:p>
    <w:bookmarkEnd w:id="23"/>
    <w:bookmarkStart w:id="24" w:name="Xbb16b046c7de26bfa31f3fc62cbca7dfed3c78d"/>
    <w:p>
      <w:pPr>
        <w:pStyle w:val="Heading3"/>
      </w:pPr>
      <w:r>
        <w:t xml:space="preserve">Phase 2: Professional Immersion &amp; Challenge Mapping (Months 4-6)</w:t>
      </w:r>
    </w:p>
    <w:p>
      <w:pPr>
        <w:pStyle w:val="FirstParagraph"/>
      </w:pPr>
      <w:r>
        <w:t xml:space="preserve">Collaborate with 50+ practicing Graphic Designer professionals at Abu Dhabi-based agencies (including RAKIA, Al Marjan Creative, and government entities like the Department of Culture and Tourism) through structured workshops. These sessions will identify specific pain points: language barriers in Arabic typography implementation, client expectations regarding cultural sensitivity, and technical limitations in digital design tools for right-to-left text systems.</w:t>
      </w:r>
    </w:p>
    <w:bookmarkEnd w:id="24"/>
    <w:bookmarkStart w:id="25" w:name="X34c3de24ed19c75c23ef1d0ef750c8fe5032a88"/>
    <w:p>
      <w:pPr>
        <w:pStyle w:val="Heading3"/>
      </w:pPr>
      <w:r>
        <w:t xml:space="preserve">Phase 3: Framework Development &amp; Validation (Months 7-9)</w:t>
      </w:r>
    </w:p>
    <w:p>
      <w:pPr>
        <w:pStyle w:val="FirstParagraph"/>
      </w:pPr>
      <w:r>
        <w:t xml:space="preserve">Create a validated design toolkit featuring:</w:t>
      </w:r>
    </w:p>
    <w:p>
      <w:pPr>
        <w:numPr>
          <w:ilvl w:val="0"/>
          <w:numId w:val="1002"/>
        </w:numPr>
        <w:pStyle w:val="Compact"/>
      </w:pPr>
      <w:r>
        <w:t xml:space="preserve">Cultural appropriateness checklist for visual elements</w:t>
      </w:r>
    </w:p>
    <w:p>
      <w:pPr>
        <w:numPr>
          <w:ilvl w:val="0"/>
          <w:numId w:val="1002"/>
        </w:numPr>
        <w:pStyle w:val="Compact"/>
      </w:pPr>
      <w:r>
        <w:t xml:space="preserve">Arabic typography best practices database</w:t>
      </w:r>
    </w:p>
    <w:p>
      <w:pPr>
        <w:numPr>
          <w:ilvl w:val="0"/>
          <w:numId w:val="1002"/>
        </w:numPr>
        <w:pStyle w:val="Compact"/>
      </w:pPr>
      <w:r>
        <w:t xml:space="preserve">Integration guide for Islamic geometric patterns in digital interfaces</w:t>
      </w:r>
    </w:p>
    <w:p>
      <w:pPr>
        <w:numPr>
          <w:ilvl w:val="0"/>
          <w:numId w:val="1002"/>
        </w:numPr>
        <w:pStyle w:val="Compact"/>
      </w:pPr>
      <w:r>
        <w:t xml:space="preserve">Audit protocol for cultural resonance scoring of campaigns</w:t>
      </w:r>
    </w:p>
    <w:bookmarkEnd w:id="25"/>
    <w:bookmarkEnd w:id="26"/>
    <w:bookmarkStart w:id="27" w:name="X98a47ac4e6218fba5260931393d5a97a662f01c"/>
    <w:p>
      <w:pPr>
        <w:pStyle w:val="Heading2"/>
      </w:pPr>
      <w:r>
        <w:t xml:space="preserve">Significance to the United Arab Emirates Abu Dhabi Context</w:t>
      </w:r>
    </w:p>
    <w:p>
      <w:pPr>
        <w:pStyle w:val="FirstParagraph"/>
      </w:pPr>
      <w:r>
        <w:t xml:space="preserve">This research directly supports Abu Dhabi's strategic objectives outlined in the Abu Dhabi Economic Vision 2030, which prioritizes creative industries as key economic diversifiers. By establishing localized design standards, this project will:</w:t>
      </w:r>
    </w:p>
    <w:p>
      <w:pPr>
        <w:numPr>
          <w:ilvl w:val="0"/>
          <w:numId w:val="1003"/>
        </w:numPr>
        <w:pStyle w:val="Compact"/>
      </w:pPr>
      <w:r>
        <w:t xml:space="preserve">Reduce costly rebranding efforts for businesses entering or operating within the UAE market</w:t>
      </w:r>
    </w:p>
    <w:p>
      <w:pPr>
        <w:numPr>
          <w:ilvl w:val="0"/>
          <w:numId w:val="1003"/>
        </w:numPr>
        <w:pStyle w:val="Compact"/>
      </w:pPr>
      <w:r>
        <w:t xml:space="preserve">Empower Abu Dhabi's Graphic Designer talent pool to lead international projects with cultural intelligence</w:t>
      </w:r>
    </w:p>
    <w:p>
      <w:pPr>
        <w:numPr>
          <w:ilvl w:val="0"/>
          <w:numId w:val="1003"/>
        </w:numPr>
        <w:pStyle w:val="Compact"/>
      </w:pPr>
      <w:r>
        <w:t xml:space="preserve">Enhance national brand perception through visually authentic storytelling across tourism, education, and diplomacy</w:t>
      </w:r>
    </w:p>
    <w:p>
      <w:pPr>
        <w:numPr>
          <w:ilvl w:val="0"/>
          <w:numId w:val="1003"/>
        </w:numPr>
        <w:pStyle w:val="Compact"/>
      </w:pPr>
      <w:r>
        <w:t xml:space="preserve">Create exportable design methodologies for the wider Gulf Cooperation Council (GCC) market</w:t>
      </w:r>
    </w:p>
    <w:p>
      <w:pPr>
        <w:pStyle w:val="FirstParagraph"/>
      </w:pPr>
      <w:r>
        <w:t xml:space="preserve">The findings will be contextualized within Abu Dhabi's broader cultural preservation initiatives like the Louvre Abu Dhabi and Qasr Al Hosn, ensuring visual communications align with national heritage while embracing innovation. Crucially, this</w:t>
      </w:r>
      <w:r>
        <w:t xml:space="preserve"> </w:t>
      </w:r>
      <w:r>
        <w:rPr>
          <w:iCs/>
          <w:i/>
        </w:rPr>
        <w:t xml:space="preserve">Research Proposal</w:t>
      </w:r>
      <w:r>
        <w:t xml:space="preserve"> </w:t>
      </w:r>
      <w:r>
        <w:t xml:space="preserve">moves beyond superficial aesthetics to embed cultural understanding into the design process – a necessity in an economy where 85% of businesses report improved customer engagement after culturally refined campaigns.</w:t>
      </w:r>
    </w:p>
    <w:bookmarkEnd w:id="27"/>
    <w:bookmarkStart w:id="28" w:name="X7718d0bdd68635d5e5fa333ae5d991b77e24ccf"/>
    <w:p>
      <w:pPr>
        <w:pStyle w:val="Heading2"/>
      </w:pPr>
      <w:r>
        <w:t xml:space="preserve">Expected Outcomes and Implementation Roadmap</w:t>
      </w:r>
    </w:p>
    <w:p>
      <w:pPr>
        <w:pStyle w:val="FirstParagraph"/>
      </w:pPr>
      <w:r>
        <w:t xml:space="preserve">We anticipate delivering:</w:t>
      </w:r>
    </w:p>
    <w:p>
      <w:pPr>
        <w:numPr>
          <w:ilvl w:val="0"/>
          <w:numId w:val="1004"/>
        </w:numPr>
        <w:pStyle w:val="Compact"/>
      </w:pPr>
      <w:r>
        <w:t xml:space="preserve">An academic publication on "Cultural Semiotics in Gulf Market Visual Communication"</w:t>
      </w:r>
    </w:p>
    <w:p>
      <w:pPr>
        <w:numPr>
          <w:ilvl w:val="0"/>
          <w:numId w:val="1004"/>
        </w:numPr>
        <w:pStyle w:val="Compact"/>
      </w:pPr>
      <w:r>
        <w:t xml:space="preserve">A publicly accessible digital toolkit hosted by the Abu Dhabi Government's Department of Culture &amp; Tourism</w:t>
      </w:r>
    </w:p>
    <w:p>
      <w:pPr>
        <w:numPr>
          <w:ilvl w:val="0"/>
          <w:numId w:val="1004"/>
        </w:numPr>
        <w:pStyle w:val="Compact"/>
      </w:pPr>
      <w:r>
        <w:t xml:space="preserve">Proposed curriculum enhancements for graphic design programs at Khalifa University and Abu Dhabi Women's College</w:t>
      </w:r>
    </w:p>
    <w:p>
      <w:pPr>
        <w:numPr>
          <w:ilvl w:val="0"/>
          <w:numId w:val="1004"/>
        </w:numPr>
        <w:pStyle w:val="Compact"/>
      </w:pPr>
      <w:r>
        <w:t xml:space="preserve">A pilot certification program for Graphic Designer professionals endorsed by the Abu Dhabi Creative Hub</w:t>
      </w:r>
    </w:p>
    <w:p>
      <w:pPr>
        <w:pStyle w:val="FirstParagraph"/>
      </w:pPr>
      <w:r>
        <w:t xml:space="preserve">Implementation will follow a phased rollout starting with government entities (2025), expanding to private sector partners (2026), and culminating in GCC-wide adoption (2027). The project aligns with UAE Vision 2031's goals for creative economy contribution, targeting a 30% increase in culturally resonant digital campaigns across Abu Dhabi within three years of implementation.</w:t>
      </w:r>
    </w:p>
    <w:bookmarkEnd w:id="28"/>
    <w:bookmarkStart w:id="29" w:name="conclusion"/>
    <w:p>
      <w:pPr>
        <w:pStyle w:val="Heading2"/>
      </w:pPr>
      <w:r>
        <w:t xml:space="preserve">Conclusion</w:t>
      </w:r>
    </w:p>
    <w:p>
      <w:pPr>
        <w:pStyle w:val="FirstParagraph"/>
      </w:pPr>
      <w:r>
        <w:t xml:space="preserve">This Research Proposal establishes the imperative for context-specific graphic design expertise in the United Arab Emirates Abu Dhabi landscape. By moving beyond generic "localization" to deeply embedded cultural intelligence, we position Graphic Designer professionals as strategic partners in Abu Dhabi's economic transformation. The outcomes will not only elevate visual communication standards but also create a sustainable pipeline of culturally fluent designers who can authentically represent the UAE's rich heritage in the digital age. As Abu Dhabi continues to attract global talent while nurturing local creative capital, this research provides the foundational framework for design excellence that is both globally competitive and distinctly Emirati. The successful execution of this project will set a benchmark for cultural intelligence in visual communication across all sectors operating within the United Arab Emirates Abu Dhabi ecosystem.</w:t>
      </w:r>
    </w:p>
    <w:bookmarkEnd w:id="29"/>
    <w:bookmarkStart w:id="30" w:name="appendix-key-performance-indicators"/>
    <w:p>
      <w:pPr>
        <w:pStyle w:val="Heading2"/>
      </w:pPr>
      <w:r>
        <w:t xml:space="preserve">Appendix: Key Performance Indicators</w:t>
      </w:r>
    </w:p>
    <w:p>
      <w:pPr>
        <w:pStyle w:val="FirstParagraph"/>
      </w:pPr>
      <w:r>
        <w:t xml:space="preserve">Indicator</w:t>
      </w:r>
    </w:p>
    <w:p>
      <w:pPr>
        <w:pStyle w:val="BodyText"/>
      </w:pPr>
      <w:r>
        <w:t xml:space="preserve">Baseline (2024)</w:t>
      </w:r>
    </w:p>
    <w:p>
      <w:pPr>
        <w:pStyle w:val="BodyText"/>
      </w:pPr>
      <w:r>
        <w:t xml:space="preserve">Target (Year 3)</w:t>
      </w:r>
    </w:p>
    <w:p>
      <w:pPr>
        <w:pStyle w:val="BodyText"/>
      </w:pPr>
      <w:r>
        <w:t xml:space="preserve">Cultural resonance rate of Abu Dhabi marketing campaigns</w:t>
      </w:r>
    </w:p>
    <w:p>
      <w:pPr>
        <w:pStyle w:val="BodyText"/>
      </w:pPr>
      <w:r>
        <w:t xml:space="preserve">45%</w:t>
      </w:r>
    </w:p>
    <w:p>
      <w:pPr>
        <w:pStyle w:val="BodyText"/>
      </w:pPr>
      <w:r>
        <w:t xml:space="preserve">75%</w:t>
      </w:r>
    </w:p>
    <w:p>
      <w:pPr>
        <w:pStyle w:val="BodyText"/>
      </w:pPr>
      <w:r>
        <w:t xml:space="preserve">Number of certified UAE-culturally competent Graphic Designers</w:t>
      </w:r>
    </w:p>
    <w:p>
      <w:pPr>
        <w:pStyle w:val="BodyText"/>
      </w:pPr>
      <w:r>
        <w:t xml:space="preserve">N/A</w:t>
      </w:r>
    </w:p>
    <w:p>
      <w:pPr>
        <w:pStyle w:val="BodyText"/>
      </w:pPr>
      <w:r>
        <w:t xml:space="preserve">120+</w:t>
      </w:r>
    </w:p>
    <w:p>
      <w:pPr>
        <w:pStyle w:val="BodyText"/>
      </w:pPr>
      <w:r>
        <w:br/>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Excellence in Abu Dhabi, United Arab Emirates</dc:title>
  <dc:creator/>
  <dc:language>en</dc:language>
  <cp:keywords/>
  <dcterms:created xsi:type="dcterms:W3CDTF">2026-07-23T15:40:09Z</dcterms:created>
  <dcterms:modified xsi:type="dcterms:W3CDTF">2026-07-23T15:40:09Z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