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Dubai's</w:t>
      </w:r>
      <w:r>
        <w:t xml:space="preserve"> </w:t>
      </w:r>
      <w:r>
        <w:t xml:space="preserve">Creative</w:t>
      </w:r>
      <w:r>
        <w:t xml:space="preserve"> </w:t>
      </w:r>
      <w:r>
        <w:t xml:space="preserve">Economy</w:t>
      </w:r>
    </w:p>
    <w:bookmarkStart w:id="28" w:name="X14e351569cd48014441242768271454ab9c3625"/>
    <w:p>
      <w:pPr>
        <w:pStyle w:val="Heading1"/>
      </w:pPr>
      <w:r>
        <w:t xml:space="preserve">Research Proposal: The Evolving Role of Graphic Designers in Dubai's Creative Economy</w:t>
      </w:r>
    </w:p>
    <w:bookmarkStart w:id="20" w:name="introduction"/>
    <w:p>
      <w:pPr>
        <w:pStyle w:val="Heading2"/>
      </w:pPr>
      <w:r>
        <w:t xml:space="preserve">Introduction</w:t>
      </w:r>
    </w:p>
    <w:p>
      <w:pPr>
        <w:pStyle w:val="FirstParagraph"/>
      </w:pPr>
      <w:r>
        <w:t xml:space="preserve">The United Arab Emirates, particularly Dubai, has emerged as a global hub for creativity and innovation in the 21st century. As the emirate continues its ambitious vision to transform into a knowledge-based economy under initiatives like Dubai 2040 Urban Master Plan and Vision 2030, the creative sector has become a critical catalyst for economic diversification. Within this dynamic landscape, the role of the</w:t>
      </w:r>
      <w:r>
        <w:t xml:space="preserve"> </w:t>
      </w:r>
      <w:r>
        <w:rPr>
          <w:bCs/>
          <w:b/>
        </w:rPr>
        <w:t xml:space="preserve">Graphic Designer</w:t>
      </w:r>
      <w:r>
        <w:t xml:space="preserve"> </w:t>
      </w:r>
      <w:r>
        <w:t xml:space="preserve">has evolved from mere visual communication to strategic brand storytelling that bridges cultural heritage and modern global markets. This research proposal outlines a comprehensive study examining how contemporary</w:t>
      </w:r>
      <w:r>
        <w:t xml:space="preserve"> </w:t>
      </w:r>
      <w:r>
        <w:rPr>
          <w:bCs/>
          <w:b/>
        </w:rPr>
        <w:t xml:space="preserve">Graphic Designer</w:t>
      </w:r>
      <w:r>
        <w:t xml:space="preserve"> </w:t>
      </w:r>
      <w:r>
        <w:t xml:space="preserve">professionals operate within Dubai's unique socio-economic ecosystem, addressing critical gaps in understanding their contributions to the United Arab Emirates' creative economy.</w:t>
      </w:r>
    </w:p>
    <w:bookmarkEnd w:id="20"/>
    <w:bookmarkStart w:id="21" w:name="problem-statement"/>
    <w:p>
      <w:pPr>
        <w:pStyle w:val="Heading2"/>
      </w:pPr>
      <w:r>
        <w:t xml:space="preserve">Problem Statement</w:t>
      </w:r>
    </w:p>
    <w:p>
      <w:pPr>
        <w:pStyle w:val="FirstParagraph"/>
      </w:pPr>
      <w:r>
        <w:t xml:space="preserve">Despite Dubai's rapid growth as a creative capital—hosting 50% of the MENA region's advertising agencies and attracting over 10,000 international creatives—there is a significant lack of empirical research on the professional experiences, challenges, and evolving skill requirements of local</w:t>
      </w:r>
      <w:r>
        <w:t xml:space="preserve"> </w:t>
      </w:r>
      <w:r>
        <w:rPr>
          <w:bCs/>
          <w:b/>
        </w:rPr>
        <w:t xml:space="preserve">Graphic Designer</w:t>
      </w:r>
      <w:r>
        <w:t xml:space="preserve">s. Current industry reports (e.g., Dubai Creative Cluster Authority 2023) indicate a 45% annual growth in design-related roles but reveal no systematic analysis of how cultural nuances, digital transformation pressures, and UAE-specific regulations impact daily practice. This knowledge gap prevents effective talent development strategies, hinders the scalability of creative enterprises, and limits the sector's potential contribution to Dubai's target of achieving AED 1 trillion in the creative industries by 2030.</w:t>
      </w:r>
    </w:p>
    <w:bookmarkEnd w:id="21"/>
    <w:bookmarkStart w:id="22" w:name="research-objectives"/>
    <w:p>
      <w:pPr>
        <w:pStyle w:val="Heading2"/>
      </w:pPr>
      <w:r>
        <w:t xml:space="preserve">Research Objectives</w:t>
      </w:r>
    </w:p>
    <w:p>
      <w:pPr>
        <w:numPr>
          <w:ilvl w:val="0"/>
          <w:numId w:val="1001"/>
        </w:numPr>
        <w:pStyle w:val="Compact"/>
      </w:pPr>
      <w:r>
        <w:t xml:space="preserve">To map the current skill ecosystem required for effective</w:t>
      </w:r>
      <w:r>
        <w:t xml:space="preserve"> </w:t>
      </w:r>
      <w:r>
        <w:rPr>
          <w:bCs/>
          <w:b/>
        </w:rPr>
        <w:t xml:space="preserve">Graphic Designer</w:t>
      </w:r>
      <w:r>
        <w:t xml:space="preserve"> </w:t>
      </w:r>
      <w:r>
        <w:t xml:space="preserve">practice in Dubai, including technical competencies (e.g., AR/VR integration, multilingual UI/UX), cultural intelligence, and compliance with UAE branding regulations.</w:t>
      </w:r>
    </w:p>
    <w:p>
      <w:pPr>
        <w:numPr>
          <w:ilvl w:val="0"/>
          <w:numId w:val="1001"/>
        </w:numPr>
        <w:pStyle w:val="Compact"/>
      </w:pPr>
      <w:r>
        <w:t xml:space="preserve">To analyze how Dubai's unique multicultural environment shapes design methodologies, particularly in balancing Emirati cultural identity with global brand demands.</w:t>
      </w:r>
    </w:p>
    <w:p>
      <w:pPr>
        <w:numPr>
          <w:ilvl w:val="0"/>
          <w:numId w:val="1001"/>
        </w:numPr>
        <w:pStyle w:val="Compact"/>
      </w:pPr>
      <w:r>
        <w:t xml:space="preserve">To identify systemic barriers—such as regulatory constraints, client expectations gaps, and professional development limitations—that impede</w:t>
      </w:r>
      <w:r>
        <w:t xml:space="preserve"> </w:t>
      </w:r>
      <w:r>
        <w:rPr>
          <w:bCs/>
          <w:b/>
        </w:rPr>
        <w:t xml:space="preserve">Graphic Designer</w:t>
      </w:r>
      <w:r>
        <w:t xml:space="preserve"> </w:t>
      </w:r>
      <w:r>
        <w:t xml:space="preserve">innovation within the United Arab Emirates context.</w:t>
      </w:r>
    </w:p>
    <w:p>
      <w:pPr>
        <w:numPr>
          <w:ilvl w:val="0"/>
          <w:numId w:val="1001"/>
        </w:numPr>
        <w:pStyle w:val="Compact"/>
      </w:pPr>
      <w:r>
        <w:t xml:space="preserve">To develop evidence-based recommendations for educational institutions (e.g., Dubai Institute of Design and Innovation), government bodies (e.g., Dubai Culture &amp; Arts Authority), and creative agencies to optimize talent pipelines.</w:t>
      </w:r>
    </w:p>
    <w:bookmarkEnd w:id="22"/>
    <w:bookmarkStart w:id="23" w:name="Xbdde66ffd87d0da60c8541c0b751a641a8af8e9"/>
    <w:p>
      <w:pPr>
        <w:pStyle w:val="Heading2"/>
      </w:pPr>
      <w:r>
        <w:t xml:space="preserve">Literature Review: Contextualizing the Research</w:t>
      </w:r>
    </w:p>
    <w:p>
      <w:pPr>
        <w:pStyle w:val="FirstParagraph"/>
      </w:pPr>
      <w:r>
        <w:t xml:space="preserve">Existing scholarship on design in the Middle East primarily focuses on historical visual culture (e.g., Al-Aswad, 2019) or generic digital design trends (Smith &amp; Chen, 2021). Crucially absent is context-specific research about</w:t>
      </w:r>
      <w:r>
        <w:t xml:space="preserve"> </w:t>
      </w:r>
      <w:r>
        <w:rPr>
          <w:bCs/>
          <w:b/>
        </w:rPr>
        <w:t xml:space="preserve">Graphic Designer</w:t>
      </w:r>
      <w:r>
        <w:t xml:space="preserve">s navigating Dubai's dual demands: preserving Arab aesthetics while meeting international client standards. Studies from Western contexts (e.g., Kress &amp; van Leeuwen, 2001) fail to account for UAE's distinct legal framework requiring adherence to religious norms in visual content or its "Golden Visa" policy attracting global talent. This research will fill that void by centering Dubai as the primary case study within the</w:t>
      </w:r>
      <w:r>
        <w:t xml:space="preserve"> </w:t>
      </w:r>
      <w:r>
        <w:rPr>
          <w:bCs/>
          <w:b/>
        </w:rPr>
        <w:t xml:space="preserve">United Arab Emirates Dubai</w:t>
      </w:r>
      <w:r>
        <w:t xml:space="preserve"> </w:t>
      </w:r>
      <w:r>
        <w:t xml:space="preserve">ecosystem.</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Cross-sectional Survey:</w:t>
      </w:r>
      <w:r>
        <w:t xml:space="preserve"> </w:t>
      </w:r>
      <w:r>
        <w:t xml:space="preserve">300+ professional graphic designers across Dubai's design studios (e.g., WPP, MullenLowe UAE), in-house brand teams (e.g., Emirates Airlines, Al-Futtaim Group), and freelance platforms will participate in structured questionnaires assessing skill relevance, cultural challenges, and career trajectories.</w:t>
      </w:r>
    </w:p>
    <w:p>
      <w:pPr>
        <w:numPr>
          <w:ilvl w:val="0"/>
          <w:numId w:val="1002"/>
        </w:numPr>
        <w:pStyle w:val="Compact"/>
      </w:pPr>
      <w:r>
        <w:rPr>
          <w:bCs/>
          <w:b/>
        </w:rPr>
        <w:t xml:space="preserve">Focus Group Analysis:</w:t>
      </w:r>
      <w:r>
        <w:t xml:space="preserve"> </w:t>
      </w:r>
      <w:r>
        <w:t xml:space="preserve">Eight moderated sessions with diverse practitioners (Emirati nationals, South Asian expatriates, African diaspora designers) exploring how cultural identity informs creative choices in projects like Dubai Shopping Festival campaigns or Expo 2020 legacy branding.</w:t>
      </w:r>
    </w:p>
    <w:p>
      <w:pPr>
        <w:numPr>
          <w:ilvl w:val="0"/>
          <w:numId w:val="1002"/>
        </w:numPr>
        <w:pStyle w:val="Compact"/>
      </w:pPr>
      <w:r>
        <w:rPr>
          <w:bCs/>
          <w:b/>
        </w:rPr>
        <w:t xml:space="preserve">Case Study Deep Dives:</w:t>
      </w:r>
      <w:r>
        <w:t xml:space="preserve"> </w:t>
      </w:r>
      <w:r>
        <w:t xml:space="preserve">In-depth analysis of three high-impact projects (e.g., Dubai Museums' digital rebranding, "Visit Dubai" campaign for Ramadan 2024) to document process frameworks and quantifiable outcomes from the</w:t>
      </w:r>
      <w:r>
        <w:t xml:space="preserve"> </w:t>
      </w:r>
      <w:r>
        <w:rPr>
          <w:bCs/>
          <w:b/>
        </w:rPr>
        <w:t xml:space="preserve">Graphic Designer</w:t>
      </w:r>
      <w:r>
        <w:t xml:space="preserve">'s perspective.</w:t>
      </w:r>
    </w:p>
    <w:p>
      <w:pPr>
        <w:pStyle w:val="FirstParagraph"/>
      </w:pPr>
      <w:r>
        <w:t xml:space="preserve">Data will be triangulated using NVivo for qualitative analysis and SPSS for statistical validation. Ethical clearance will be obtained from the University of Dubai's IRB, with all participant data anonymized per UAE data protection laws.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key deliverables with immediate applicability to Dubai's creative sector:</w:t>
      </w:r>
    </w:p>
    <w:p>
      <w:pPr>
        <w:numPr>
          <w:ilvl w:val="0"/>
          <w:numId w:val="1003"/>
        </w:numPr>
        <w:pStyle w:val="Compact"/>
      </w:pPr>
      <w:r>
        <w:rPr>
          <w:bCs/>
          <w:b/>
        </w:rPr>
        <w:t xml:space="preserve">A Dynamic Competency Framework:</w:t>
      </w:r>
      <w:r>
        <w:t xml:space="preserve"> </w:t>
      </w:r>
      <w:r>
        <w:t xml:space="preserve">A publicly accessible model categorizing essential skills for Dubai-based</w:t>
      </w:r>
      <w:r>
        <w:t xml:space="preserve"> </w:t>
      </w:r>
      <w:r>
        <w:rPr>
          <w:bCs/>
          <w:b/>
        </w:rPr>
        <w:t xml:space="preserve">Graphic Designer</w:t>
      </w:r>
      <w:r>
        <w:t xml:space="preserve">s (e.g., "UAE Cultural Literacy," "Regulatory Compliance in Visual Media") to guide university curricula and recruitment.</w:t>
      </w:r>
    </w:p>
    <w:p>
      <w:pPr>
        <w:numPr>
          <w:ilvl w:val="0"/>
          <w:numId w:val="1003"/>
        </w:numPr>
        <w:pStyle w:val="Compact"/>
      </w:pPr>
      <w:r>
        <w:rPr>
          <w:bCs/>
          <w:b/>
        </w:rPr>
        <w:t xml:space="preserve">Cultural Intelligence Toolkit:</w:t>
      </w:r>
      <w:r>
        <w:t xml:space="preserve"> </w:t>
      </w:r>
      <w:r>
        <w:t xml:space="preserve">Practical guidelines for navigating Dubai-specific design challenges—such as creating Ramadan-themed visuals that respect cultural sensitivity while driving engagement—developed with input from Emirati heritage consultants.</w:t>
      </w:r>
    </w:p>
    <w:p>
      <w:pPr>
        <w:numPr>
          <w:ilvl w:val="0"/>
          <w:numId w:val="1003"/>
        </w:numPr>
        <w:pStyle w:val="Compact"/>
      </w:pPr>
      <w:r>
        <w:rPr>
          <w:bCs/>
          <w:b/>
        </w:rPr>
        <w:t xml:space="preserve">Policy Briefing Document:</w:t>
      </w:r>
      <w:r>
        <w:t xml:space="preserve"> </w:t>
      </w:r>
      <w:r>
        <w:t xml:space="preserve">Evidence-based recommendations for the Dubai Creative Industries Center (DCIC) to enhance its "Design Excellence" certification program and align with UAE's National Creative Strategy 2031.</w:t>
      </w:r>
    </w:p>
    <w:p>
      <w:pPr>
        <w:pStyle w:val="FirstParagraph"/>
      </w:pPr>
      <w:r>
        <w:t xml:space="preserve">The significance extends beyond academia: By positioning</w:t>
      </w:r>
      <w:r>
        <w:t xml:space="preserve"> </w:t>
      </w:r>
      <w:r>
        <w:rPr>
          <w:bCs/>
          <w:b/>
        </w:rPr>
        <w:t xml:space="preserve">Graphic Designer</w:t>
      </w:r>
      <w:r>
        <w:t xml:space="preserve">s as strategic assets rather than support staff, this research directly supports Dubai's economic diversification goals. As the creative industry contributes AED 16.7 billion annually to the UAE GDP (Dubai Culture, 2023), optimizing design talent could unlock an estimated 20% efficiency gain in brand communication across sectors—from tourism to fintech.</w:t>
      </w:r>
    </w:p>
    <w:bookmarkEnd w:id="25"/>
    <w:bookmarkStart w:id="26" w:name="timeline-and-budget"/>
    <w:p>
      <w:pPr>
        <w:pStyle w:val="Heading2"/>
      </w:pPr>
      <w:r>
        <w:t xml:space="preserve">Timeline and Budget</w:t>
      </w:r>
    </w:p>
    <w:p>
      <w:pPr>
        <w:pStyle w:val="FirstParagraph"/>
      </w:pPr>
      <w:r>
        <w:t xml:space="preserve">The project will run over 18 months with the following milestones:</w:t>
      </w:r>
    </w:p>
    <w:p>
      <w:pPr>
        <w:numPr>
          <w:ilvl w:val="0"/>
          <w:numId w:val="1004"/>
        </w:numPr>
        <w:pStyle w:val="Compact"/>
      </w:pPr>
      <w:r>
        <w:rPr>
          <w:bCs/>
          <w:b/>
        </w:rPr>
        <w:t xml:space="preserve">Months 1-3:</w:t>
      </w:r>
      <w:r>
        <w:t xml:space="preserve"> </w:t>
      </w:r>
      <w:r>
        <w:t xml:space="preserve">Literature review, instrument development, IRB approval</w:t>
      </w:r>
    </w:p>
    <w:p>
      <w:pPr>
        <w:numPr>
          <w:ilvl w:val="0"/>
          <w:numId w:val="1004"/>
        </w:numPr>
        <w:pStyle w:val="Compact"/>
      </w:pPr>
      <w:r>
        <w:rPr>
          <w:bCs/>
          <w:b/>
        </w:rPr>
        <w:t xml:space="preserve">Months 4-9:</w:t>
      </w:r>
      <w:r>
        <w:t xml:space="preserve"> </w:t>
      </w:r>
      <w:r>
        <w:t xml:space="preserve">Survey deployment, focus groups, case study collection</w:t>
      </w:r>
    </w:p>
    <w:p>
      <w:pPr>
        <w:numPr>
          <w:ilvl w:val="0"/>
          <w:numId w:val="1004"/>
        </w:numPr>
        <w:pStyle w:val="Compact"/>
      </w:pPr>
      <w:r>
        <w:rPr>
          <w:bCs/>
          <w:b/>
        </w:rPr>
        <w:t xml:space="preserve">Months 10-15:</w:t>
      </w:r>
      <w:r>
        <w:t xml:space="preserve"> </w:t>
      </w:r>
      <w:r>
        <w:t xml:space="preserve">Data analysis, framework development</w:t>
      </w:r>
    </w:p>
    <w:p>
      <w:pPr>
        <w:numPr>
          <w:ilvl w:val="0"/>
          <w:numId w:val="1004"/>
        </w:numPr>
        <w:pStyle w:val="Compact"/>
      </w:pPr>
      <w:r>
        <w:rPr>
          <w:bCs/>
          <w:b/>
        </w:rPr>
        <w:t xml:space="preserve">Months 16-18:</w:t>
      </w:r>
      <w:r>
        <w:t xml:space="preserve"> </w:t>
      </w:r>
      <w:r>
        <w:t xml:space="preserve">Report finalization, stakeholder workshops with Dubai Design District (d3), and policy submission</w:t>
      </w:r>
    </w:p>
    <w:p>
      <w:pPr>
        <w:pStyle w:val="FirstParagraph"/>
      </w:pPr>
      <w:r>
        <w:t xml:space="preserve">Budget requirements include AED 250,000 for researcher stipends, participant incentives (aligned with UAE's minimum wage standards), data analysis software licenses, and dissemination costs. This is competitively priced against similar Dubai-based research projects funded by the Abu Dhabi Investment Authority Creative Fund.</w:t>
      </w:r>
    </w:p>
    <w:bookmarkEnd w:id="26"/>
    <w:bookmarkStart w:id="27" w:name="conclusion"/>
    <w:p>
      <w:pPr>
        <w:pStyle w:val="Heading2"/>
      </w:pPr>
      <w:r>
        <w:t xml:space="preserve">Conclusion</w:t>
      </w:r>
    </w:p>
    <w:p>
      <w:pPr>
        <w:pStyle w:val="FirstParagraph"/>
      </w:pPr>
      <w:r>
        <w:t xml:space="preserve">As Dubai positions itself as a "global design capital" through initiatives like the new Design Museum in Dubai Creek Harbour, understanding the nuanced realities of the local</w:t>
      </w:r>
      <w:r>
        <w:t xml:space="preserve"> </w:t>
      </w:r>
      <w:r>
        <w:rPr>
          <w:bCs/>
          <w:b/>
        </w:rPr>
        <w:t xml:space="preserve">Graphic Designer</w:t>
      </w:r>
      <w:r>
        <w:t xml:space="preserve"> </w:t>
      </w:r>
      <w:r>
        <w:t xml:space="preserve">is no longer optional—it is foundational to sustainable growth. This research proposal directly responds to the United Arab Emirates' strategic priority of elevating creative excellence within its borders. By centering Dubai as a microcosm of MENA's creative evolution, this study will establish a benchmark for how</w:t>
      </w:r>
      <w:r>
        <w:t xml:space="preserve"> </w:t>
      </w:r>
      <w:r>
        <w:rPr>
          <w:bCs/>
          <w:b/>
        </w:rPr>
        <w:t xml:space="preserve">Graphic Designer</w:t>
      </w:r>
      <w:r>
        <w:t xml:space="preserve"> </w:t>
      </w:r>
      <w:r>
        <w:t xml:space="preserve">professionals drive brand narratives that resonate across cultures while embodying UAE's vision of "progress through heritage." The outcomes will empower designers to become architects of Dubai's visual identity in the global market, transforming them from service providers into indispensable partners in the emirate's economic renaissance.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Dubai's Creative Economy</dc:title>
  <dc:creator/>
  <dc:language>en</dc:language>
  <cp:keywords/>
  <dcterms:created xsi:type="dcterms:W3CDTF">2025-12-11T16:19:00Z</dcterms:created>
  <dcterms:modified xsi:type="dcterms:W3CDTF">2025-12-11T16:19:00Z</dcterms:modified>
</cp:coreProperties>
</file>

<file path=docProps/custom.xml><?xml version="1.0" encoding="utf-8"?>
<Properties xmlns="http://schemas.openxmlformats.org/officeDocument/2006/custom-properties" xmlns:vt="http://schemas.openxmlformats.org/officeDocument/2006/docPropsVTypes"/>
</file>