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Creative</w:t>
      </w:r>
      <w:r>
        <w:t xml:space="preserve"> </w:t>
      </w:r>
      <w:r>
        <w:t xml:space="preserve">Economy</w:t>
      </w:r>
    </w:p>
    <w:bookmarkStart w:id="28" w:name="X8007dd8bdb93edfa4b4f1555be523ea98c3e60b"/>
    <w:p>
      <w:pPr>
        <w:pStyle w:val="Heading1"/>
      </w:pPr>
      <w:r>
        <w:t xml:space="preserve">Research Proposal: The Evolving Role of the Graphic Designer in United Kingdom Birmingham's Creative Economy</w:t>
      </w:r>
    </w:p>
    <w:bookmarkStart w:id="20" w:name="abstract"/>
    <w:p>
      <w:pPr>
        <w:pStyle w:val="Heading2"/>
      </w:pPr>
      <w:r>
        <w:t xml:space="preserve">Abstract</w:t>
      </w:r>
    </w:p>
    <w:p>
      <w:pPr>
        <w:pStyle w:val="FirstParagraph"/>
      </w:pPr>
      <w:r>
        <w:t xml:space="preserve">This Research Proposal investigates the contemporary challenges, opportunities, and evolving professional identity of the Graphic Designer within the dynamic creative ecosystem of United Kingdom Birmingham. Focusing on Midlands-based practitioners and employers, this study addresses a critical gap in understanding how localised economic shifts, digital transformation, and post-Brexit market dynamics shape Graphic Designer roles. With Birmingham designated as England's "Second City" and a UNESCO City of Music since 2015, its creative sector employs over 35,000 people across design disciplines. Yet, there remains limited empirical research specifically examining the Graphic Designer's professional trajectory in this unique urban context. This project will deliver actionable insights for educators, businesses, and policymakers to strengthen Birmingham's position as a leading hub for design innovation within the United Kingdom.</w:t>
      </w:r>
    </w:p>
    <w:bookmarkEnd w:id="20"/>
    <w:bookmarkStart w:id="21" w:name="X1acd0ead8be673f1e64c751a80d07f93a709579"/>
    <w:p>
      <w:pPr>
        <w:pStyle w:val="Heading2"/>
      </w:pPr>
      <w:r>
        <w:t xml:space="preserve">1. Introduction: The Birmingham Design Landscape</w:t>
      </w:r>
    </w:p>
    <w:p>
      <w:pPr>
        <w:pStyle w:val="FirstParagraph"/>
      </w:pPr>
      <w:r>
        <w:t xml:space="preserve">Birmingham stands at a pivotal moment in its creative development. As the largest city outside London in the United Kingdom, it boasts a diverse, rapidly growing creative sector valued at over £5 billion annually (Birmingham City Council, 2023). Central to this economy is the Graphic Designer – an increasingly multifaceted professional whose skills extend far beyond traditional print design into digital UX/UI, branding strategy, and multimedia content creation. Despite Birmingham’s status as a major cultural and commercial centre (home to the BBC Birmingham Media Village, Digbeth Creative Quarter, and numerous design agencies), there is a notable absence of research focused on the specific needs, aspirations, and professional challenges faced by Graphic Designers operating within this distinct urban environment. This Research Proposal directly addresses this void, positioning United Kingdom Birmingham as both the geographical focus and the critical context for understanding contemporary graphic design practice.</w:t>
      </w:r>
    </w:p>
    <w:bookmarkEnd w:id="21"/>
    <w:bookmarkStart w:id="22" w:name="problem-statement"/>
    <w:p>
      <w:pPr>
        <w:pStyle w:val="Heading2"/>
      </w:pPr>
      <w:r>
        <w:t xml:space="preserve">2. Problem Statement</w:t>
      </w:r>
    </w:p>
    <w:p>
      <w:pPr>
        <w:pStyle w:val="FirstParagraph"/>
      </w:pPr>
      <w:r>
        <w:t xml:space="preserve">The role of the Graphic Designer in United Kingdom Birmingham is undergoing significant transformation due to several converging factors:</w:t>
      </w:r>
    </w:p>
    <w:p>
      <w:pPr>
        <w:numPr>
          <w:ilvl w:val="0"/>
          <w:numId w:val="1001"/>
        </w:numPr>
        <w:pStyle w:val="Compact"/>
      </w:pPr>
      <w:r>
        <w:rPr>
          <w:bCs/>
          <w:b/>
        </w:rPr>
        <w:t xml:space="preserve">Post-Brexit Labour Market Shifts:</w:t>
      </w:r>
      <w:r>
        <w:t xml:space="preserve"> </w:t>
      </w:r>
      <w:r>
        <w:t xml:space="preserve">Reduced access to EU talent pools has intensified competition for skilled Graphic Designers, impacting project delivery and business scalability.</w:t>
      </w:r>
    </w:p>
    <w:p>
      <w:pPr>
        <w:numPr>
          <w:ilvl w:val="0"/>
          <w:numId w:val="1001"/>
        </w:numPr>
        <w:pStyle w:val="Compact"/>
      </w:pPr>
      <w:r>
        <w:rPr>
          <w:bCs/>
          <w:b/>
        </w:rPr>
        <w:t xml:space="preserve">Digital Disruption:</w:t>
      </w:r>
      <w:r>
        <w:t xml:space="preserve"> </w:t>
      </w:r>
      <w:r>
        <w:t xml:space="preserve">Local SMEs increasingly demand multi-platform design capabilities (social media, AR/VR, responsive web), straining traditional skill sets without adequate local training pathways.</w:t>
      </w:r>
    </w:p>
    <w:p>
      <w:pPr>
        <w:numPr>
          <w:ilvl w:val="0"/>
          <w:numId w:val="1001"/>
        </w:numPr>
        <w:pStyle w:val="Compact"/>
      </w:pPr>
      <w:r>
        <w:rPr>
          <w:bCs/>
          <w:b/>
        </w:rPr>
        <w:t xml:space="preserve">Economic Fragmentation:</w:t>
      </w:r>
      <w:r>
        <w:t xml:space="preserve"> </w:t>
      </w:r>
      <w:r>
        <w:t xml:space="preserve">While Birmingham’s creative sector grew by 4.7% in 2023 (ONS), many Graphic Designers report inconsistent workloads and underpayment compared to London counterparts, risking talent attrition.</w:t>
      </w:r>
    </w:p>
    <w:p>
      <w:pPr>
        <w:pStyle w:val="FirstParagraph"/>
      </w:pPr>
      <w:r>
        <w:t xml:space="preserve">Current industry reports (e.g., Creative England, 2023) lack granular analysis of Birmingham-specific challenges. This gap impedes effective workforce development strategies and fails to capture how localised factors like the City Centre’s regeneration (e.g., Eastside Development, Paradise Project) influence design practice. Without targeted research, United Kingdom Birmingham risks missing opportunities to harness its design talent for wider economic growth.</w:t>
      </w:r>
    </w:p>
    <w:bookmarkEnd w:id="22"/>
    <w:bookmarkStart w:id="23" w:name="research-questions"/>
    <w:p>
      <w:pPr>
        <w:pStyle w:val="Heading2"/>
      </w:pPr>
      <w:r>
        <w:t xml:space="preserve">3. Research Questions</w:t>
      </w:r>
    </w:p>
    <w:p>
      <w:pPr>
        <w:numPr>
          <w:ilvl w:val="0"/>
          <w:numId w:val="1002"/>
        </w:numPr>
        <w:pStyle w:val="Compact"/>
      </w:pPr>
      <w:r>
        <w:t xml:space="preserve">How do Graphic Designers in United Kingdom Birmingham navigate the tension between traditional design skills and emerging digital competencies (e.g., AI tools, motion graphics) within their daily workflows?</w:t>
      </w:r>
    </w:p>
    <w:p>
      <w:pPr>
        <w:numPr>
          <w:ilvl w:val="0"/>
          <w:numId w:val="1002"/>
        </w:numPr>
        <w:pStyle w:val="Compact"/>
      </w:pPr>
      <w:r>
        <w:t xml:space="preserve">What are the primary economic and professional barriers impacting career progression for Graphic Designers operating in Birmingham’s local market versus national averages?</w:t>
      </w:r>
    </w:p>
    <w:p>
      <w:pPr>
        <w:numPr>
          <w:ilvl w:val="0"/>
          <w:numId w:val="1002"/>
        </w:numPr>
        <w:pStyle w:val="Compact"/>
      </w:pPr>
      <w:r>
        <w:t xml:space="preserve">To what extent do local educational institutions (e.g., Birmingham City University, University of Central Lancashire – Birmingham Campus) align their curricula with the evolving needs of employers in United Kingdom Birmingham’s design sector?</w:t>
      </w:r>
    </w:p>
    <w:bookmarkEnd w:id="23"/>
    <w:bookmarkStart w:id="24" w:name="methodology"/>
    <w:p>
      <w:pPr>
        <w:pStyle w:val="Heading2"/>
      </w:pPr>
      <w:r>
        <w:t xml:space="preserve">4. Methodology</w:t>
      </w:r>
    </w:p>
    <w:p>
      <w:pPr>
        <w:pStyle w:val="FirstParagraph"/>
      </w:pPr>
      <w:r>
        <w:t xml:space="preserve">This study adopts a mixed-methods approach to ensure robust, grounded insights:</w:t>
      </w:r>
    </w:p>
    <w:p>
      <w:pPr>
        <w:numPr>
          <w:ilvl w:val="0"/>
          <w:numId w:val="1003"/>
        </w:numPr>
        <w:pStyle w:val="Compact"/>
      </w:pPr>
      <w:r>
        <w:rPr>
          <w:bCs/>
          <w:b/>
        </w:rPr>
        <w:t xml:space="preserve">Quantitative Survey:</w:t>
      </w:r>
      <w:r>
        <w:t xml:space="preserve"> </w:t>
      </w:r>
      <w:r>
        <w:t xml:space="preserve">Distributed to 300+ Graphic Designers registered with Birmingham-based agencies, freelancers (via Creative Birmingham network), and in-house teams (e.g., BCCI, Persimmon Homes). Focus: Skill usage, income trends, perceived market pressures.</w:t>
      </w:r>
    </w:p>
    <w:p>
      <w:pPr>
        <w:numPr>
          <w:ilvl w:val="0"/>
          <w:numId w:val="1003"/>
        </w:numPr>
        <w:pStyle w:val="Compact"/>
      </w:pPr>
      <w:r>
        <w:rPr>
          <w:bCs/>
          <w:b/>
        </w:rPr>
        <w:t xml:space="preserve">Qualitative Interviews:</w:t>
      </w:r>
      <w:r>
        <w:t xml:space="preserve"> </w:t>
      </w:r>
      <w:r>
        <w:t xml:space="preserve">25 semi-structured interviews with key stakeholders – Graphic Designers at varying career stages, creative directors of Midlands agencies (e.g., The Idea People), and HR managers from major employers (e.g., Birmingham City Council Creative Services). Focus: In-depth exploration of challenges and adaptation strategies.</w:t>
      </w:r>
    </w:p>
    <w:p>
      <w:pPr>
        <w:numPr>
          <w:ilvl w:val="0"/>
          <w:numId w:val="1003"/>
        </w:numPr>
        <w:pStyle w:val="Compact"/>
      </w:pPr>
      <w:r>
        <w:rPr>
          <w:bCs/>
          <w:b/>
        </w:rPr>
        <w:t xml:space="preserve">Secondary Data Analysis:</w:t>
      </w:r>
      <w:r>
        <w:t xml:space="preserve"> </w:t>
      </w:r>
      <w:r>
        <w:t xml:space="preserve">Review of local labour market data (ONS, BCC), university graduate employment reports, and industry reports specific to West Midlands creative economy.</w:t>
      </w:r>
    </w:p>
    <w:p>
      <w:pPr>
        <w:pStyle w:val="FirstParagraph"/>
      </w:pPr>
      <w:r>
        <w:t xml:space="preserve">Data collection will occur between October 2024 – February 2025. Ethical approval will be sought from the University of Birmingham’s Social Science Research Ethics Committee. Analysis will use thematic coding (NVivo) for qualitative data and SPSS for statistical trends.</w:t>
      </w:r>
    </w:p>
    <w:bookmarkEnd w:id="24"/>
    <w:bookmarkStart w:id="25" w:name="expected-outcomes-significance"/>
    <w:p>
      <w:pPr>
        <w:pStyle w:val="Heading2"/>
      </w:pPr>
      <w:r>
        <w:t xml:space="preserve">5. Expected Outcomes &amp; Significance</w:t>
      </w:r>
    </w:p>
    <w:p>
      <w:pPr>
        <w:pStyle w:val="FirstParagraph"/>
      </w:pPr>
      <w:r>
        <w:t xml:space="preserve">This Research Proposal promises tangible impact for United Kingdom Birmingham:</w:t>
      </w:r>
    </w:p>
    <w:p>
      <w:pPr>
        <w:numPr>
          <w:ilvl w:val="0"/>
          <w:numId w:val="1004"/>
        </w:numPr>
        <w:pStyle w:val="Compact"/>
      </w:pPr>
      <w:r>
        <w:rPr>
          <w:bCs/>
          <w:b/>
        </w:rPr>
        <w:t xml:space="preserve">Educational Reform:</w:t>
      </w:r>
      <w:r>
        <w:t xml:space="preserve"> </w:t>
      </w:r>
      <w:r>
        <w:t xml:space="preserve">A detailed skills gap report to guide curriculum development at BCU and other local institutions, ensuring Graphic Designer training aligns with Birmingham’s market demands.</w:t>
      </w:r>
    </w:p>
    <w:p>
      <w:pPr>
        <w:numPr>
          <w:ilvl w:val="0"/>
          <w:numId w:val="1004"/>
        </w:numPr>
        <w:pStyle w:val="Compact"/>
      </w:pPr>
      <w:r>
        <w:rPr>
          <w:bCs/>
          <w:b/>
        </w:rPr>
        <w:t xml:space="preserve">Industry Strategy:</w:t>
      </w:r>
      <w:r>
        <w:t xml:space="preserve"> </w:t>
      </w:r>
      <w:r>
        <w:t xml:space="preserve">Evidence-based recommendations for the Birmingham Creative Cluster (BCC) to develop targeted support programmes, e.g., upskilling workshops on AI-assisted design or regional talent retention schemes.</w:t>
      </w:r>
    </w:p>
    <w:p>
      <w:pPr>
        <w:numPr>
          <w:ilvl w:val="0"/>
          <w:numId w:val="1004"/>
        </w:numPr>
        <w:pStyle w:val="Compact"/>
      </w:pPr>
      <w:r>
        <w:rPr>
          <w:bCs/>
          <w:b/>
        </w:rPr>
        <w:t xml:space="preserve">Policymaker Insight:</w:t>
      </w:r>
      <w:r>
        <w:t xml:space="preserve"> </w:t>
      </w:r>
      <w:r>
        <w:t xml:space="preserve">Data to inform Birmingham City Council’s Creative Industries Strategy 2030, addressing issues like fair pay benchmarks and infrastructure for creative SMEs in the city centre.</w:t>
      </w:r>
    </w:p>
    <w:p>
      <w:pPr>
        <w:pStyle w:val="FirstParagraph"/>
      </w:pPr>
      <w:r>
        <w:t xml:space="preserve">Crucially, this research will establish a baseline understanding of the Graphic Designer’s professional experience within United Kingdom Birmingham – a context often overshadowed by London-centric studies. By placing Birmingham at the heart of this inquiry, it elevates regional creative economies beyond being "satellite" markets, demonstrating their unique value and resilience.</w:t>
      </w:r>
    </w:p>
    <w:bookmarkEnd w:id="25"/>
    <w:bookmarkStart w:id="26" w:name="timeline-deliverables"/>
    <w:p>
      <w:pPr>
        <w:pStyle w:val="Heading2"/>
      </w:pPr>
      <w:r>
        <w:t xml:space="preserve">6. Timeline &amp;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Protocol Finalisation</w:t>
            </w:r>
          </w:p>
        </w:tc>
        <w:tc>
          <w:tcPr/>
          <w:p>
            <w:pPr>
              <w:pStyle w:val="Compact"/>
              <w:jc w:val="left"/>
            </w:pPr>
            <w:r>
              <w:t xml:space="preserve">June–August 2024</w:t>
            </w:r>
          </w:p>
        </w:tc>
        <w:tc>
          <w:tcPr/>
          <w:p>
            <w:pPr>
              <w:pStyle w:val="Compact"/>
              <w:jc w:val="left"/>
            </w:pPr>
            <w:r>
              <w:t xml:space="preserve">Fully vetted research protocol, ethical approval</w:t>
            </w:r>
          </w:p>
        </w:tc>
      </w:tr>
      <w:tr>
        <w:tc>
          <w:tcPr/>
          <w:p>
            <w:pPr>
              <w:pStyle w:val="Compact"/>
              <w:jc w:val="left"/>
            </w:pPr>
            <w:r>
              <w:t xml:space="preserve">Data Collection (Surveys &amp; Interviews)</w:t>
            </w:r>
          </w:p>
        </w:tc>
        <w:tc>
          <w:tcPr/>
          <w:p>
            <w:pPr>
              <w:pStyle w:val="Compact"/>
              <w:jc w:val="left"/>
            </w:pPr>
            <w:r>
              <w:t xml:space="preserve">September–January 2025</w:t>
            </w:r>
          </w:p>
        </w:tc>
        <w:tc>
          <w:tcPr/>
          <w:p>
            <w:pPr>
              <w:pStyle w:val="Compact"/>
              <w:jc w:val="left"/>
            </w:pPr>
            <w:r>
              <w:t xml:space="preserve">300+ survey responses; 25 interview transcripts</w:t>
            </w:r>
          </w:p>
        </w:tc>
      </w:tr>
      <w:tr>
        <w:tc>
          <w:tcPr/>
          <w:p>
            <w:pPr>
              <w:pStyle w:val="Compact"/>
              <w:jc w:val="left"/>
            </w:pPr>
            <w:r>
              <w:t xml:space="preserve">Data Analysis &amp; Draft Report</w:t>
            </w:r>
          </w:p>
        </w:tc>
        <w:tc>
          <w:tcPr/>
          <w:p>
            <w:pPr>
              <w:pStyle w:val="Compact"/>
              <w:jc w:val="left"/>
            </w:pPr>
            <w:r>
              <w:t xml:space="preserve">February–April 2025</w:t>
            </w:r>
          </w:p>
        </w:tc>
        <w:tc>
          <w:tcPr/>
          <w:p>
            <w:pPr>
              <w:pStyle w:val="Compact"/>
              <w:jc w:val="left"/>
            </w:pPr>
            <w:r>
              <w:t xml:space="preserve">Draft findings, thematic report for stakeholder review</w:t>
            </w:r>
          </w:p>
        </w:tc>
      </w:tr>
      <w:tr>
        <w:tc>
          <w:tcPr/>
          <w:p>
            <w:pPr>
              <w:pStyle w:val="Compact"/>
              <w:jc w:val="left"/>
            </w:pPr>
            <w:r>
              <w:t xml:space="preserve">Stakeholder Workshop &amp; Final Report Publication</w:t>
            </w:r>
          </w:p>
        </w:tc>
        <w:tc>
          <w:tcPr/>
          <w:p>
            <w:pPr>
              <w:pStyle w:val="Compact"/>
              <w:jc w:val="left"/>
            </w:pPr>
            <w:r>
              <w:t xml:space="preserve">May 2025</w:t>
            </w:r>
          </w:p>
        </w:tc>
        <w:tc>
          <w:tcPr/>
          <w:p>
            <w:pPr>
              <w:pStyle w:val="Compact"/>
              <w:jc w:val="left"/>
            </w:pPr>
            <w:r>
              <w:t xml:space="preserve">Publishable research report; policy brief for Birmingham City Council; academic paper (Creative Industries Journal)</w:t>
            </w:r>
          </w:p>
        </w:tc>
      </w:tr>
    </w:tbl>
    <w:bookmarkEnd w:id="26"/>
    <w:bookmarkStart w:id="27" w:name="conclusion"/>
    <w:p>
      <w:pPr>
        <w:pStyle w:val="Heading2"/>
      </w:pPr>
      <w:r>
        <w:t xml:space="preserve">7. Conclusion</w:t>
      </w:r>
    </w:p>
    <w:p>
      <w:pPr>
        <w:pStyle w:val="FirstParagraph"/>
      </w:pPr>
      <w:r>
        <w:t xml:space="preserve">The Graphic Designer is not merely a technician in United Kingdom Birmingham’s creative economy but a strategic asset driving brand identity, community engagement, and digital innovation. This Research Proposal provides the necessary framework to systematically understand and support this vital profession within Birmingham’s unique socio-economic landscape. By focusing intensely on the local context – from Digbeth studios to corporate HQs in Brindleyplace – it ensures findings are actionable for Birmingham stakeholders rather than generic national advice. The outcomes will empower Graphic Designers through better training, equip employers with clearer talent expectations, and position United Kingdom Birmingham as a model for regional creative economies across the country. Investing in understanding the Graphic Designer’s evolving role is not just about design; it is an investment in Birmingham’s cultural vitality and economic future.</w:t>
      </w:r>
    </w:p>
    <w:bookmarkEnd w:id="27"/>
    <w:p>
      <w:pPr>
        <w:pStyle w:val="BodyText"/>
      </w:pPr>
      <w:r>
        <w:rPr>
          <w:iCs/>
          <w:i/>
        </w:rPr>
        <w:t xml:space="preserve">Word Count: 878</w:t>
      </w:r>
    </w:p>
    <w:p>
      <w:pPr>
        <w:pStyle w:val="BodyText"/>
      </w:pPr>
      <w:r>
        <w:rPr>
          <w:iCs/>
          <w:i/>
        </w:rPr>
        <w:t xml:space="preserve">This Research Proposal was developed for consideration by the University of Birmingham, School of Media, Arts and Humanities. It aligns with Birmingham City Council’s Strategic Outline Planning Framework (2023) and the West Midlands Combined Authority’s Creative Industries Action Plan.</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Graphic Designer in United Kingdom Birmingham's Creative Economy</dc:title>
  <dc:creator/>
  <dc:language>en</dc:language>
  <cp:keywords/>
  <dcterms:created xsi:type="dcterms:W3CDTF">2026-07-23T22:09:27Z</dcterms:created>
  <dcterms:modified xsi:type="dcterms:W3CDTF">2026-07-23T22:09:27Z</dcterms:modified>
</cp:coreProperties>
</file>

<file path=docProps/custom.xml><?xml version="1.0" encoding="utf-8"?>
<Properties xmlns="http://schemas.openxmlformats.org/officeDocument/2006/custom-properties" xmlns:vt="http://schemas.openxmlformats.org/officeDocument/2006/docPropsVTypes"/>
</file>