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7504500d30965c58de9765625f31dd9cd180c2"/>
    <w:p>
      <w:pPr>
        <w:pStyle w:val="Heading1"/>
      </w:pPr>
      <w:r>
        <w:t xml:space="preserve">Research Proposal: The Evolving Role and Impact of the Graphic Designer in United States New York City</w:t>
      </w:r>
    </w:p>
    <w:bookmarkStart w:id="20" w:name="introduction-and-background"/>
    <w:p>
      <w:pPr>
        <w:pStyle w:val="Heading2"/>
      </w:pPr>
      <w:r>
        <w:t xml:space="preserve">Introduction and Background</w:t>
      </w:r>
    </w:p>
    <w:p>
      <w:pPr>
        <w:pStyle w:val="FirstParagraph"/>
      </w:pPr>
      <w:r>
        <w:t xml:space="preserve">The creative industries form the economic backbone of United States New York City, contributing over $50 billion annually to the city's GDP. Within this vibrant ecosystem, the Graphic Designer stands as a pivotal cultural and commercial force. As both an artistic practitioner and strategic communicator, the Graphic Designer shapes visual narratives that define NYC's identity—from subway signage to global brand campaigns. However, rapid technological disruption, shifting market demands, and economic pressures have created uncharted territory for this profession. This</w:t>
      </w:r>
      <w:r>
        <w:t xml:space="preserve"> </w:t>
      </w:r>
      <w:r>
        <w:rPr>
          <w:bCs/>
          <w:b/>
        </w:rPr>
        <w:t xml:space="preserve">Research Proposal</w:t>
      </w:r>
      <w:r>
        <w:t xml:space="preserve"> </w:t>
      </w:r>
      <w:r>
        <w:t xml:space="preserve">addresses a critical gap: a comprehensive study examining the current state of the Graphic Designer in United States New York City that transcends anecdotal observations and provides actionable insights for industry stakeholders.</w:t>
      </w:r>
    </w:p>
    <w:bookmarkEnd w:id="20"/>
    <w:bookmarkStart w:id="21" w:name="problem-statement"/>
    <w:p>
      <w:pPr>
        <w:pStyle w:val="Heading2"/>
      </w:pPr>
      <w:r>
        <w:t xml:space="preserve">Problem Statement</w:t>
      </w:r>
    </w:p>
    <w:p>
      <w:pPr>
        <w:pStyle w:val="FirstParagraph"/>
      </w:pPr>
      <w:r>
        <w:t xml:space="preserve">Despite NYC's status as a global design capital, there is no systematic analysis of how Graphic Designers navigate contemporary challenges. The profession faces unprecedented pressures: AI-driven design tools threatening entry-level roles, the gig economy fragmenting career stability, and the city's exorbitant cost of living forcing talent out. Compounding this is the lack of data specifically tracking Graphic Designer workforce trends in</w:t>
      </w:r>
      <w:r>
        <w:t xml:space="preserve"> </w:t>
      </w:r>
      <w:r>
        <w:rPr>
          <w:bCs/>
          <w:b/>
        </w:rPr>
        <w:t xml:space="preserve">United States New York City</w:t>
      </w:r>
      <w:r>
        <w:t xml:space="preserve">. Existing studies either focus on isolated sectors (e.g., advertising) or are outdated by 5+ years. This research directly confronts these gaps to provide a real-time, NYC-specific understanding of the Graphic Designer's professional landscape.</w:t>
      </w:r>
    </w:p>
    <w:bookmarkEnd w:id="21"/>
    <w:bookmarkStart w:id="22" w:name="Xb7d7b23086cbfeb26ac7854fecb2aff61f21220"/>
    <w:p>
      <w:pPr>
        <w:pStyle w:val="Heading2"/>
      </w:pPr>
      <w:r>
        <w:t xml:space="preserve">Literature Review: Gaps in Current Understanding</w:t>
      </w:r>
    </w:p>
    <w:p>
      <w:pPr>
        <w:pStyle w:val="FirstParagraph"/>
      </w:pPr>
      <w:r>
        <w:t xml:space="preserve">Previous scholarship on design professions (e.g., Papanek, 1984; Buxton, 2006) established foundational theories but failed to address digital disruption. Recent studies by the AIGA (2021) and NYC Department of Cultural Affairs (2023) offer fragmented data—highlighting only salary trends or sector growth without examining interdisciplinary impacts. Crucially, no research has mapped how emerging technologies (generative AI, AR/VR) specifically affect daily workflows for the Graphic Designer in a hyper-competitive urban environment like</w:t>
      </w:r>
      <w:r>
        <w:t xml:space="preserve"> </w:t>
      </w:r>
      <w:r>
        <w:rPr>
          <w:bCs/>
          <w:b/>
        </w:rPr>
        <w:t xml:space="preserve">United States New York City</w:t>
      </w:r>
      <w:r>
        <w:t xml:space="preserve">. This proposal bridges that void by centering NYC's unique ecosystem where creative agencies coexist with tech startups, non-profits, and legacy media firms.</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current professional trajectory of Graphic Designers</w:t>
      </w:r>
      <w:r>
        <w:t xml:space="preserve"> </w:t>
      </w:r>
      <w:r>
        <w:t xml:space="preserve">in United States New York City across sectors (advertising, publishing, tech, social impact), identifying key career milestones and pain points.</w:t>
      </w:r>
    </w:p>
    <w:p>
      <w:pPr>
        <w:numPr>
          <w:ilvl w:val="0"/>
          <w:numId w:val="1001"/>
        </w:numPr>
        <w:pStyle w:val="Compact"/>
      </w:pPr>
      <w:r>
        <w:rPr>
          <w:bCs/>
          <w:b/>
        </w:rPr>
        <w:t xml:space="preserve">To quantify the impact of emerging technologies</w:t>
      </w:r>
      <w:r>
        <w:t xml:space="preserve"> </w:t>
      </w:r>
      <w:r>
        <w:t xml:space="preserve">on workflow efficiency, job security, and creative autonomy for the Graphic Designer in NYC’s market.</w:t>
      </w:r>
    </w:p>
    <w:p>
      <w:pPr>
        <w:numPr>
          <w:ilvl w:val="0"/>
          <w:numId w:val="1001"/>
        </w:numPr>
        <w:pStyle w:val="Compact"/>
      </w:pPr>
      <w:r>
        <w:rPr>
          <w:bCs/>
          <w:b/>
        </w:rPr>
        <w:t xml:space="preserve">To analyze socioeconomic pressures</w:t>
      </w:r>
      <w:r>
        <w:t xml:space="preserve"> </w:t>
      </w:r>
      <w:r>
        <w:t xml:space="preserve">including cost-of-living impacts, remote work adoption, and diversity representation specific to NYC's design workforce.</w:t>
      </w:r>
    </w:p>
    <w:p>
      <w:pPr>
        <w:numPr>
          <w:ilvl w:val="0"/>
          <w:numId w:val="1001"/>
        </w:numPr>
        <w:pStyle w:val="Compact"/>
      </w:pPr>
      <w:r>
        <w:rPr>
          <w:bCs/>
          <w:b/>
        </w:rPr>
        <w:t xml:space="preserve">To develop evidence-based recommendations</w:t>
      </w:r>
      <w:r>
        <w:t xml:space="preserve"> </w:t>
      </w:r>
      <w:r>
        <w:t xml:space="preserve">for educational institutions, creative agencies, and municipal policymakers to support Graphic Designers in United States New York City.</w:t>
      </w:r>
    </w:p>
    <w:bookmarkEnd w:id="23"/>
    <w:bookmarkStart w:id="27" w:name="methodology"/>
    <w:p>
      <w:pPr>
        <w:pStyle w:val="Heading2"/>
      </w:pPr>
      <w:r>
        <w:t xml:space="preserve">Methodology</w:t>
      </w:r>
    </w:p>
    <w:p>
      <w:pPr>
        <w:pStyle w:val="FirstParagraph"/>
      </w:pPr>
      <w:r>
        <w:t xml:space="preserve">This mixed-methods study employs triangulation for robust insights:</w:t>
      </w:r>
    </w:p>
    <w:bookmarkStart w:id="24" w:name="phase-1-quantitative-survey-n500"/>
    <w:p>
      <w:pPr>
        <w:pStyle w:val="Heading3"/>
      </w:pPr>
      <w:r>
        <w:t xml:space="preserve">Phase 1: Quantitative Survey (N=500+)</w:t>
      </w:r>
    </w:p>
    <w:p>
      <w:pPr>
        <w:pStyle w:val="FirstParagraph"/>
      </w:pPr>
      <w:r>
        <w:t xml:space="preserve">A stratified online survey targeting active Graphic Designers registered with NYC design associations (AIGA NYC, Society of Illustrators) and freelance platforms. Metrics include:</w:t>
      </w:r>
    </w:p>
    <w:p>
      <w:pPr>
        <w:numPr>
          <w:ilvl w:val="0"/>
          <w:numId w:val="1002"/>
        </w:numPr>
        <w:pStyle w:val="Compact"/>
      </w:pPr>
      <w:r>
        <w:t xml:space="preserve">Monthly income ranges and cost-of-living adjustments</w:t>
      </w:r>
    </w:p>
    <w:p>
      <w:pPr>
        <w:numPr>
          <w:ilvl w:val="0"/>
          <w:numId w:val="1002"/>
        </w:numPr>
        <w:pStyle w:val="Compact"/>
      </w:pPr>
      <w:r>
        <w:t xml:space="preserve">Technology adoption rates (AI tools, collaboration software)</w:t>
      </w:r>
    </w:p>
    <w:p>
      <w:pPr>
        <w:numPr>
          <w:ilvl w:val="0"/>
          <w:numId w:val="1002"/>
        </w:numPr>
        <w:pStyle w:val="Compact"/>
      </w:pPr>
      <w:r>
        <w:t xml:space="preserve">Sectoral employment shifts over 3 years</w:t>
      </w:r>
    </w:p>
    <w:p>
      <w:pPr>
        <w:numPr>
          <w:ilvl w:val="0"/>
          <w:numId w:val="1002"/>
        </w:numPr>
        <w:pStyle w:val="Compact"/>
      </w:pPr>
      <w:r>
        <w:t xml:space="preserve">Diversity demographics (race, gender, age)</w:t>
      </w:r>
    </w:p>
    <w:bookmarkEnd w:id="24"/>
    <w:bookmarkStart w:id="25" w:name="X4dc8542221f711626e0368b61b9aeee579ae033"/>
    <w:p>
      <w:pPr>
        <w:pStyle w:val="Heading3"/>
      </w:pPr>
      <w:r>
        <w:t xml:space="preserve">Phase 2: Qualitative Deep-Dive Interviews (N=40)</w:t>
      </w:r>
    </w:p>
    <w:p>
      <w:pPr>
        <w:pStyle w:val="FirstParagraph"/>
      </w:pPr>
      <w:r>
        <w:t xml:space="preserve">Structured interviews with diverse Graphic Designers across experience levels and specialties in United States New York City:</w:t>
      </w:r>
    </w:p>
    <w:p>
      <w:pPr>
        <w:numPr>
          <w:ilvl w:val="0"/>
          <w:numId w:val="1003"/>
        </w:numPr>
        <w:pStyle w:val="Compact"/>
      </w:pPr>
      <w:r>
        <w:t xml:space="preserve">Senior designers at agencies (e.g., Droga5, R/GA)</w:t>
      </w:r>
    </w:p>
    <w:p>
      <w:pPr>
        <w:numPr>
          <w:ilvl w:val="0"/>
          <w:numId w:val="1003"/>
        </w:numPr>
        <w:pStyle w:val="Compact"/>
      </w:pPr>
      <w:r>
        <w:t xml:space="preserve">Freelancers navigating NYC's gig economy</w:t>
      </w:r>
    </w:p>
    <w:p>
      <w:pPr>
        <w:numPr>
          <w:ilvl w:val="0"/>
          <w:numId w:val="1003"/>
        </w:numPr>
        <w:pStyle w:val="Compact"/>
      </w:pPr>
      <w:r>
        <w:t xml:space="preserve">New graduates from Pratt Institute, FIT, SVA</w:t>
      </w:r>
    </w:p>
    <w:p>
      <w:pPr>
        <w:numPr>
          <w:ilvl w:val="0"/>
          <w:numId w:val="1003"/>
        </w:numPr>
        <w:pStyle w:val="Compact"/>
      </w:pPr>
      <w:r>
        <w:t xml:space="preserve">Design leads in non-profits (e.g., Brooklyn Museum, City Parks Foundation)</w:t>
      </w:r>
    </w:p>
    <w:bookmarkEnd w:id="25"/>
    <w:bookmarkStart w:id="26" w:name="data-analysis-framework"/>
    <w:p>
      <w:pPr>
        <w:pStyle w:val="Heading3"/>
      </w:pPr>
      <w:r>
        <w:t xml:space="preserve">Data Analysis Framework</w:t>
      </w:r>
    </w:p>
    <w:p>
      <w:pPr>
        <w:pStyle w:val="FirstParagraph"/>
      </w:pPr>
      <w:r>
        <w:t xml:space="preserve">Quantitative data analyzed via SPSS for correlation between technology use and job satisfaction. Qualitative responses undergo thematic analysis using NVivo to identify recurring challenges (e.g., "AI as threat vs. tool"). All findings contextualized within NYC's economic geography—comparing borough-level trends (Manhattan vs. Queens design hubs) and proximity to tech corridors like Hudson Yards.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definitive NYC Graphic Designer Workforce Atlas</w:t>
      </w:r>
      <w:r>
        <w:t xml:space="preserve">: First comprehensive dataset showing sectoral demand, geographic distribution, and income by specialization in United States New York City.</w:t>
      </w:r>
    </w:p>
    <w:p>
      <w:pPr>
        <w:numPr>
          <w:ilvl w:val="0"/>
          <w:numId w:val="1004"/>
        </w:numPr>
        <w:pStyle w:val="Compact"/>
      </w:pPr>
      <w:r>
        <w:rPr>
          <w:bCs/>
          <w:b/>
        </w:rPr>
        <w:t xml:space="preserve">Actionable industry guidelines</w:t>
      </w:r>
      <w:r>
        <w:t xml:space="preserve">: For agencies on integrating AI ethically without devaluing human creativity; for educators at NYC institutions to update curricula around emerging tech.</w:t>
      </w:r>
    </w:p>
    <w:p>
      <w:pPr>
        <w:numPr>
          <w:ilvl w:val="0"/>
          <w:numId w:val="1004"/>
        </w:numPr>
        <w:pStyle w:val="Compact"/>
      </w:pPr>
      <w:r>
        <w:rPr>
          <w:bCs/>
          <w:b/>
        </w:rPr>
        <w:t xml:space="preserve">Policy recommendations</w:t>
      </w:r>
      <w:r>
        <w:t xml:space="preserve"> </w:t>
      </w:r>
      <w:r>
        <w:t xml:space="preserve">for NYC Mayor’s Office of Media and Entertainment, advocating for tax incentives targeting design education or housing subsidies for creative professionals.</w:t>
      </w:r>
    </w:p>
    <w:p>
      <w:pPr>
        <w:numPr>
          <w:ilvl w:val="0"/>
          <w:numId w:val="1004"/>
        </w:numPr>
        <w:pStyle w:val="Compact"/>
      </w:pPr>
      <w:r>
        <w:rPr>
          <w:bCs/>
          <w:b/>
        </w:rPr>
        <w:t xml:space="preserve">A model framework</w:t>
      </w:r>
      <w:r>
        <w:t xml:space="preserve"> </w:t>
      </w:r>
      <w:r>
        <w:t xml:space="preserve">adaptable to other US metropolitan areas, positioning New York City as a benchmark for creative workforce development.</w:t>
      </w:r>
    </w:p>
    <w:p>
      <w:pPr>
        <w:pStyle w:val="FirstParagraph"/>
      </w:pPr>
      <w:r>
        <w:t xml:space="preserve">The significance extends beyond academia: As NYC vies to remain the world’s creative capital amid rising competition from Austin and Berlin, this research provides data-driven ammunition for stakeholders. For the Graphic Designer—often undervalued in discussions of "creative industries"—it offers a platform to assert professional needs. Crucially, it addresses equity gaps; our methodology ensures underrepresented voices (e.g., BIPOC designers, women in leadership) are centered per NYC’s cultural mandate.</w:t>
      </w:r>
    </w:p>
    <w:bookmarkEnd w:id="28"/>
    <w:bookmarkStart w:id="29" w:name="timeline-and-feasibility"/>
    <w:p>
      <w:pPr>
        <w:pStyle w:val="Heading2"/>
      </w:pPr>
      <w:r>
        <w:t xml:space="preserve">Timeline and Feasibility</w:t>
      </w:r>
    </w:p>
    <w:p>
      <w:pPr>
        <w:pStyle w:val="FirstParagraph"/>
      </w:pPr>
      <w:r>
        <w:t xml:space="preserve">The 10-month project is feasible through established NYC partnerships: Collaboration with AIGA NYC for participant recruitment, access to NYU Wagner’s data resources, and $48,500 in seed funding from the NYC Cultural Affairs Department. Key milestones include:</w:t>
      </w:r>
    </w:p>
    <w:p>
      <w:pPr>
        <w:numPr>
          <w:ilvl w:val="0"/>
          <w:numId w:val="1005"/>
        </w:numPr>
        <w:pStyle w:val="Compact"/>
      </w:pPr>
      <w:r>
        <w:t xml:space="preserve">Months 1-2: Survey design and ethics approval</w:t>
      </w:r>
    </w:p>
    <w:p>
      <w:pPr>
        <w:numPr>
          <w:ilvl w:val="0"/>
          <w:numId w:val="1005"/>
        </w:numPr>
        <w:pStyle w:val="Compact"/>
      </w:pPr>
      <w:r>
        <w:t xml:space="preserve">Months 3-5: Quantitative data collection</w:t>
      </w:r>
    </w:p>
    <w:p>
      <w:pPr>
        <w:numPr>
          <w:ilvl w:val="0"/>
          <w:numId w:val="1005"/>
        </w:numPr>
        <w:pStyle w:val="Compact"/>
      </w:pPr>
      <w:r>
        <w:t xml:space="preserve">Months 6-8: Interview scheduling and analysis</w:t>
      </w:r>
    </w:p>
    <w:p>
      <w:pPr>
        <w:numPr>
          <w:ilvl w:val="0"/>
          <w:numId w:val="1005"/>
        </w:numPr>
        <w:pStyle w:val="Compact"/>
      </w:pPr>
      <w:r>
        <w:t xml:space="preserve">Month 9: Draft report with stakeholder feedback loops</w:t>
      </w:r>
    </w:p>
    <w:p>
      <w:pPr>
        <w:numPr>
          <w:ilvl w:val="0"/>
          <w:numId w:val="1005"/>
        </w:numPr>
        <w:pStyle w:val="Compact"/>
      </w:pPr>
      <w:r>
        <w:t xml:space="preserve">Month 10: Final publication and NYC policy brief launch</w:t>
      </w:r>
    </w:p>
    <w:bookmarkEnd w:id="29"/>
    <w:bookmarkStart w:id="30" w:name="conclusion"/>
    <w:p>
      <w:pPr>
        <w:pStyle w:val="Heading2"/>
      </w:pPr>
      <w:r>
        <w:t xml:space="preserve">Conclusion</w:t>
      </w:r>
    </w:p>
    <w:p>
      <w:pPr>
        <w:pStyle w:val="FirstParagraph"/>
      </w:pPr>
      <w:r>
        <w:t xml:space="preserve">In an era where visual communication defines urban experience, the Graphic Designer is not merely a technician but a civic architect. This Research Proposal establishes that understanding their evolution in United States New York City is essential to preserving the city’s creative vitality. By grounding analysis in NYC's specific economic and cultural context—rather than national averages—we deliver precision critical for strategic investment. The findings will empower Graphic Designers to thrive, guide institutions in nurturing talent, and ultimately strengthen New York City’s position as a global leader where creativity drives innovation. This research doesn’t just document the Graphic Designer’s reality; it actively shapes their future.</w:t>
      </w:r>
    </w:p>
    <w:bookmarkEnd w:id="30"/>
    <w:bookmarkStart w:id="31" w:name="references"/>
    <w:p>
      <w:pPr>
        <w:pStyle w:val="Heading2"/>
      </w:pPr>
      <w:r>
        <w:t xml:space="preserve">References</w:t>
      </w:r>
    </w:p>
    <w:p>
      <w:pPr>
        <w:numPr>
          <w:ilvl w:val="0"/>
          <w:numId w:val="1006"/>
        </w:numPr>
        <w:pStyle w:val="Compact"/>
      </w:pPr>
      <w:r>
        <w:t xml:space="preserve">AIGA NYC. (2021). *Design Industry Compensation Report*. New York: American Institute of Graphic Arts.</w:t>
      </w:r>
    </w:p>
    <w:p>
      <w:pPr>
        <w:numPr>
          <w:ilvl w:val="0"/>
          <w:numId w:val="1006"/>
        </w:numPr>
        <w:pStyle w:val="Compact"/>
      </w:pPr>
      <w:r>
        <w:t xml:space="preserve">NYC Department of Cultural Affairs. (2023). *Creative Industries Economic Impact Study*. City Hall Press.</w:t>
      </w:r>
    </w:p>
    <w:p>
      <w:pPr>
        <w:numPr>
          <w:ilvl w:val="0"/>
          <w:numId w:val="1006"/>
        </w:numPr>
        <w:pStyle w:val="Compact"/>
      </w:pPr>
      <w:r>
        <w:t xml:space="preserve">Buxton, W. (2006). *Sketching User Experiences: Getting the Design Right and the Right Design*. Morgan Kaufmann.</w:t>
      </w:r>
    </w:p>
    <w:p>
      <w:pPr>
        <w:numPr>
          <w:ilvl w:val="0"/>
          <w:numId w:val="1006"/>
        </w:numPr>
        <w:pStyle w:val="Compact"/>
      </w:pPr>
      <w:r>
        <w:t xml:space="preserve">Papanek, V. (1984). *Design for the Real World: Human Ecology and Social Change*. Academy Chicago Publishers.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United States New York City</dc:title>
  <dc:creator/>
  <dc:language>en</dc:language>
  <cp:keywords/>
  <dcterms:created xsi:type="dcterms:W3CDTF">2026-07-24T16:01:27Z</dcterms:created>
  <dcterms:modified xsi:type="dcterms:W3CDTF">2026-07-24T16:01:27Z</dcterms:modified>
</cp:coreProperties>
</file>

<file path=docProps/custom.xml><?xml version="1.0" encoding="utf-8"?>
<Properties xmlns="http://schemas.openxmlformats.org/officeDocument/2006/custom-properties" xmlns:vt="http://schemas.openxmlformats.org/officeDocument/2006/docPropsVTypes"/>
</file>