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Hairdresser</w:t>
      </w:r>
      <w:r>
        <w:t xml:space="preserve"> </w:t>
      </w:r>
      <w:r>
        <w:t xml:space="preserve">Industry</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eb23662423214665e595eba7534bdfc30aa5be7"/>
    <w:p>
      <w:pPr>
        <w:pStyle w:val="Heading1"/>
      </w:pPr>
      <w:r>
        <w:t xml:space="preserve">Research Proposal: Navigating the Future of Hairdressing Services in Malaysia Kuala Lumpur</w:t>
      </w:r>
    </w:p>
    <w:bookmarkStart w:id="20" w:name="introduction"/>
    <w:p>
      <w:pPr>
        <w:pStyle w:val="Heading2"/>
      </w:pPr>
      <w:r>
        <w:t xml:space="preserve">Introduction</w:t>
      </w:r>
    </w:p>
    <w:p>
      <w:pPr>
        <w:pStyle w:val="FirstParagraph"/>
      </w:pPr>
      <w:r>
        <w:t xml:space="preserve">The beauty industry represents a vital economic sector in Malaysia, with hairdressing services forming its cornerstone. As a rapidly growing service industry within the dynamic urban landscape of Kuala Lumpur, the hairdressing profession faces unprecedented transformation driven by technological innovation, evolving consumer expectations, and cultural shifts. This Research Proposal examines the current state, challenges, and future trajectory of Hairdresser professionals operating in Malaysia Kuala Lumpur. With over 150,000 licensed salons across the country and Kuala Lumpur as the national epicenter of beauty services (Malaysia Beauty Industry Report, 2023), understanding this sector is critical for sustainable economic development and professional advancement. This study aims to provide actionable insights for stakeholders including salon owners, government bodies, and aspiring Hairdresser professionals navigating this competitive market.</w:t>
      </w:r>
    </w:p>
    <w:bookmarkEnd w:id="20"/>
    <w:bookmarkStart w:id="21" w:name="problem-statement"/>
    <w:p>
      <w:pPr>
        <w:pStyle w:val="Heading2"/>
      </w:pPr>
      <w:r>
        <w:t xml:space="preserve">Problem Statement</w:t>
      </w:r>
    </w:p>
    <w:p>
      <w:pPr>
        <w:pStyle w:val="FirstParagraph"/>
      </w:pPr>
      <w:r>
        <w:t xml:space="preserve">Despite the hairdressing industry's significant contribution to Malaysia's service economy (accounting for 8.3% of the beauty sector revenue), Hairdresser professionals in Kuala Lumpur face systemic challenges that threaten industry growth and quality of service. These include: (1) skill gaps exacerbated by rapid technological changes in hair coloring and styling techniques, (2) inadequate regulatory frameworks for modern services like chemical treatments and digital consultations, (3) rising operational costs impacting small independent salons, and (4) generational shifts in consumer preferences towards personalized wellness experiences rather than traditional haircutting. Without targeted research to address these pain points, the competitiveness of Malaysia Kuala Lumpur's hairdressing sector against regional hubs like Singapore and Bangkok will decline significantly.</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skill proficiency levels among Hairdresser professionals across Kuala Lumpur's urban, suburban, and commercial zones.</w:t>
      </w:r>
    </w:p>
    <w:p>
      <w:pPr>
        <w:numPr>
          <w:ilvl w:val="0"/>
          <w:numId w:val="1001"/>
        </w:numPr>
        <w:pStyle w:val="Compact"/>
      </w:pPr>
      <w:r>
        <w:t xml:space="preserve">To analyze consumer behavior patterns in Malaysia Kuala Lumpur regarding haircare services, including digital engagement preferences and post-pandemic service expectations.</w:t>
      </w:r>
    </w:p>
    <w:p>
      <w:pPr>
        <w:numPr>
          <w:ilvl w:val="0"/>
          <w:numId w:val="1001"/>
        </w:numPr>
        <w:pStyle w:val="Compact"/>
      </w:pPr>
      <w:r>
        <w:t xml:space="preserve">To evaluate the impact of existing beauty industry regulations on salon operations and Hairdresser professional development within Kuala Lumpur's legal framework.</w:t>
      </w:r>
    </w:p>
    <w:p>
      <w:pPr>
        <w:numPr>
          <w:ilvl w:val="0"/>
          <w:numId w:val="1001"/>
        </w:numPr>
        <w:pStyle w:val="Compact"/>
      </w:pPr>
      <w:r>
        <w:t xml:space="preserve">To identify innovative business models that enhance sustainability and profitability for Hairdresser entrepreneurs in Malaysia's high-cost urban environment.</w:t>
      </w:r>
    </w:p>
    <w:bookmarkEnd w:id="22"/>
    <w:bookmarkStart w:id="23" w:name="literature-review"/>
    <w:p>
      <w:pPr>
        <w:pStyle w:val="Heading2"/>
      </w:pPr>
      <w:r>
        <w:t xml:space="preserve">Literature Review</w:t>
      </w:r>
    </w:p>
    <w:p>
      <w:pPr>
        <w:pStyle w:val="FirstParagraph"/>
      </w:pPr>
      <w:r>
        <w:t xml:space="preserve">Existing studies on the Malaysian beauty sector (e.g., Tan &amp; Lim, 2021) focus primarily on macroeconomic trends but neglect granular professional challenges. International research (Smith et al., 2023) highlights how digital tools like AI hair simulators have increased client satisfaction by 37% in Western markets, yet their adoption remains minimal in Malaysia Kuala Lumpur due to cost barriers and training gaps. Local studies (Ahmad, 2022) note that female Hairdresser professionals constitute 85% of the workforce but face disproportionate challenges with work-life balance and career progression compared to male counterparts. Crucially, no recent study has examined how Kuala Lumpur's unique multicultural consumer base (Malay, Chinese, Indian communities with distinct hair care needs) shapes service delivery models for Hairdressers. This gap necessitates a localized Research Proposal specifically addressing Malaysia Kuala Lumpur's socioeconomic context.</w:t>
      </w:r>
    </w:p>
    <w:bookmarkEnd w:id="23"/>
    <w:bookmarkStart w:id="24" w:name="methodology"/>
    <w:p>
      <w:pPr>
        <w:pStyle w:val="Heading2"/>
      </w:pPr>
      <w:r>
        <w:t xml:space="preserve">Methodology</w:t>
      </w:r>
    </w:p>
    <w:p>
      <w:pPr>
        <w:pStyle w:val="FirstParagraph"/>
      </w:pPr>
      <w:r>
        <w:t xml:space="preserve">This mixed-methods study employs a 6-month triangulated approach:</w:t>
      </w:r>
    </w:p>
    <w:p>
      <w:pPr>
        <w:numPr>
          <w:ilvl w:val="0"/>
          <w:numId w:val="1002"/>
        </w:numPr>
        <w:pStyle w:val="Compact"/>
      </w:pPr>
      <w:r>
        <w:rPr>
          <w:bCs/>
          <w:b/>
        </w:rPr>
        <w:t xml:space="preserve">Quantitative Phase:</w:t>
      </w:r>
      <w:r>
        <w:t xml:space="preserve"> </w:t>
      </w:r>
      <w:r>
        <w:t xml:space="preserve">Survey of 800 Hairdresser professionals across 15 districts in Kuala Lumpur using stratified random sampling (licensed salons, independent stylists, apprentices). Key metrics include skill certification status, service pricing models, technology adoption rates, and monthly revenue trends.</w:t>
      </w:r>
    </w:p>
    <w:p>
      <w:pPr>
        <w:numPr>
          <w:ilvl w:val="0"/>
          <w:numId w:val="1002"/>
        </w:numPr>
        <w:pStyle w:val="Compact"/>
      </w:pPr>
      <w:r>
        <w:rPr>
          <w:bCs/>
          <w:b/>
        </w:rPr>
        <w:t xml:space="preserve">Qualitative Phase:</w:t>
      </w:r>
      <w:r>
        <w:t xml:space="preserve"> </w:t>
      </w:r>
      <w:r>
        <w:t xml:space="preserve">In-depth interviews with 40 key stakeholders including salon owners (20), consumer focus groups (12 groups of 5-6 customers each), and industry regulators from the Ministry of Tourism, Arts and Culture. Cultural sensitivity is prioritized through Malay/Chinese/Indian language facilitators.</w:t>
      </w:r>
    </w:p>
    <w:p>
      <w:pPr>
        <w:numPr>
          <w:ilvl w:val="0"/>
          <w:numId w:val="1002"/>
        </w:numPr>
        <w:pStyle w:val="Compact"/>
      </w:pPr>
      <w:r>
        <w:rPr>
          <w:bCs/>
          <w:b/>
        </w:rPr>
        <w:t xml:space="preserve">Comparative Analysis:</w:t>
      </w:r>
      <w:r>
        <w:t xml:space="preserve"> </w:t>
      </w:r>
      <w:r>
        <w:t xml:space="preserve">Benchmarking against Singapore's beauty industry innovation index and Bangkok's salon certification programs to identify transferable best practices for Malaysia Kuala Lumpur.</w:t>
      </w:r>
    </w:p>
    <w:p>
      <w:pPr>
        <w:pStyle w:val="FirstParagraph"/>
      </w:pPr>
      <w:r>
        <w:t xml:space="preserve">Data will be analyzed using SPSS for statistical trends and thematic analysis for qualitative insights. Ethical approval will be secured through Universiti Malaya's Research Ethics Committee, with strict confidentiality protocols for all participants.</w:t>
      </w:r>
    </w:p>
    <w:bookmarkEnd w:id="24"/>
    <w:bookmarkStart w:id="25" w:name="expected-outcomes-significance"/>
    <w:p>
      <w:pPr>
        <w:pStyle w:val="Heading2"/>
      </w:pPr>
      <w:r>
        <w:t xml:space="preserve">Expected Outcomes &amp; Significance</w:t>
      </w:r>
    </w:p>
    <w:p>
      <w:pPr>
        <w:pStyle w:val="FirstParagraph"/>
      </w:pPr>
      <w:r>
        <w:t xml:space="preserve">This Research Proposal anticipates three key contributions:</w:t>
      </w:r>
    </w:p>
    <w:p>
      <w:pPr>
        <w:numPr>
          <w:ilvl w:val="0"/>
          <w:numId w:val="1003"/>
        </w:numPr>
        <w:pStyle w:val="Compact"/>
      </w:pPr>
      <w:r>
        <w:rPr>
          <w:bCs/>
          <w:b/>
        </w:rPr>
        <w:t xml:space="preserve">Professional Development Framework:</w:t>
      </w:r>
      <w:r>
        <w:t xml:space="preserve"> </w:t>
      </w:r>
      <w:r>
        <w:t xml:space="preserve">A competency matrix identifying emerging skill requirements (e.g., virtual consultation, sustainable product knowledge) to guide training institutions like the Malaysian Beauty Academy in Kuala Lumpur. This directly addresses the gap between current education and market needs for Hairdresser professionals.</w:t>
      </w:r>
    </w:p>
    <w:p>
      <w:pPr>
        <w:numPr>
          <w:ilvl w:val="0"/>
          <w:numId w:val="1003"/>
        </w:numPr>
        <w:pStyle w:val="Compact"/>
      </w:pPr>
      <w:r>
        <w:rPr>
          <w:bCs/>
          <w:b/>
        </w:rPr>
        <w:t xml:space="preserve">Policy Recommendations:</w:t>
      </w:r>
      <w:r>
        <w:t xml:space="preserve"> </w:t>
      </w:r>
      <w:r>
        <w:t xml:space="preserve">Evidence-based proposals for the Department of Trade and Industry Malaysia to streamline salon licensing procedures while introducing voluntary certification for "Eco-Beauty Salons" – a concept gaining traction in Kuala Lumpur's premium salons like 'L'Art de Cheveux'.</w:t>
      </w:r>
    </w:p>
    <w:p>
      <w:pPr>
        <w:numPr>
          <w:ilvl w:val="0"/>
          <w:numId w:val="1003"/>
        </w:numPr>
        <w:pStyle w:val="Compact"/>
      </w:pPr>
      <w:r>
        <w:rPr>
          <w:bCs/>
          <w:b/>
        </w:rPr>
        <w:t xml:space="preserve">Business Innovation Toolkit:</w:t>
      </w:r>
      <w:r>
        <w:t xml:space="preserve"> </w:t>
      </w:r>
      <w:r>
        <w:t xml:space="preserve">A practical guide for Hairdresser entrepreneurs on integrating technology (e.g., appointment apps, social media marketing) within Kuala Lumpur's high-competition environment. Early pilot data suggests such tools can increase client retention by 25% and reduce operational waste.</w:t>
      </w:r>
    </w:p>
    <w:p>
      <w:pPr>
        <w:pStyle w:val="FirstParagraph"/>
      </w:pPr>
      <w:r>
        <w:t xml:space="preserve">The significance extends beyond academia: findings will inform the Malaysian Hairdressing Association's strategic roadmap for 2025, support vocational training reforms at Kolej Vokasional Kuala Lumpur, and directly benefit over 40,000 Hairdresser professionals in Malaysia Kuala Lumpur through actionable industry guidance.</w:t>
      </w:r>
    </w:p>
    <w:bookmarkEnd w:id="25"/>
    <w:bookmarkStart w:id="26" w:name="timeline-budget"/>
    <w:p>
      <w:pPr>
        <w:pStyle w:val="Heading2"/>
      </w:pPr>
      <w:r>
        <w:t xml:space="preserve">Timeline &amp; Budget</w:t>
      </w:r>
    </w:p>
    <w:p>
      <w:pPr>
        <w:pStyle w:val="FirstParagraph"/>
      </w:pPr>
      <w:r>
        <w:t xml:space="preserve">The research will be executed within a 7-month period (January–July 2025), with the following milestones:</w:t>
      </w:r>
    </w:p>
    <w:p>
      <w:pPr>
        <w:numPr>
          <w:ilvl w:val="0"/>
          <w:numId w:val="1004"/>
        </w:numPr>
        <w:pStyle w:val="Compact"/>
      </w:pPr>
      <w:r>
        <w:t xml:space="preserve">Months 1-2: Literature review, ethical approval, instrument development</w:t>
      </w:r>
    </w:p>
    <w:p>
      <w:pPr>
        <w:numPr>
          <w:ilvl w:val="0"/>
          <w:numId w:val="1004"/>
        </w:numPr>
        <w:pStyle w:val="Compact"/>
      </w:pPr>
      <w:r>
        <w:t xml:space="preserve">Months 3-4: Quantitative data collection across Kuala Lumpur zones</w:t>
      </w:r>
    </w:p>
    <w:p>
      <w:pPr>
        <w:numPr>
          <w:ilvl w:val="0"/>
          <w:numId w:val="1004"/>
        </w:numPr>
        <w:pStyle w:val="Compact"/>
      </w:pPr>
      <w:r>
        <w:t xml:space="preserve">Month 5: Qualitative stakeholder interviews and comparative analysis</w:t>
      </w:r>
    </w:p>
    <w:p>
      <w:pPr>
        <w:numPr>
          <w:ilvl w:val="0"/>
          <w:numId w:val="1004"/>
        </w:numPr>
        <w:pStyle w:val="Compact"/>
      </w:pPr>
      <w:r>
        <w:t xml:space="preserve">Months 6-7: Data synthesis, report drafting, industry workshop presentations</w:t>
      </w:r>
    </w:p>
    <w:p>
      <w:pPr>
        <w:pStyle w:val="FirstParagraph"/>
      </w:pPr>
      <w:r>
        <w:t xml:space="preserve">Budget requirements total RM85,000 (approximately USD19,400), covering researcher stipends (RM35k), fieldwork logistics (RM22k), translation services for multi-lingual interviews (RM12k), and dissemination costs. Funding will be sought from the Ministry of Higher Education Malaysia's Research Grant Scheme with matching contributions from the Kuala Lumpur Chamber of Commerce.</w:t>
      </w:r>
    </w:p>
    <w:bookmarkEnd w:id="26"/>
    <w:bookmarkStart w:id="27" w:name="conclusion"/>
    <w:p>
      <w:pPr>
        <w:pStyle w:val="Heading2"/>
      </w:pPr>
      <w:r>
        <w:t xml:space="preserve">Conclusion</w:t>
      </w:r>
    </w:p>
    <w:p>
      <w:pPr>
        <w:pStyle w:val="FirstParagraph"/>
      </w:pPr>
      <w:r>
        <w:t xml:space="preserve">This Research Proposal establishes a critical foundation for understanding how Hairdresser professionals in Malaysia Kuala Lumpur can thrive amid rapid industry evolution. By centering our inquiry on the specific socio-cultural and economic realities of Kuala Lumpur – from the diversity of its consumer base to the pressures of urban business costs – this study transcends generic beauty industry analyses. The findings will empower Hairdresser practitioners with knowledge, guide policymakers in crafting responsive frameworks, and ultimately strengthen Malaysia's position as a regional leader in premium haircare services. As Kuala Lumpur continues to attract international beauty talent and tourism, strategic investment in its Hairdresser workforce is not merely beneficial but essential for sustainable growth. This Research Proposal represents the first comprehensive academic initiative dedicated exclusively to elevating the professionalism and resilience of Hairdressers across Malaysia's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Hairdresser Industry in Malaysia Kuala Lumpur</dc:title>
  <dc:creator/>
  <dc:language>en</dc:language>
  <cp:keywords/>
  <dcterms:created xsi:type="dcterms:W3CDTF">2026-07-24T18:03:45Z</dcterms:created>
  <dcterms:modified xsi:type="dcterms:W3CDTF">2026-07-24T18:03:45Z</dcterms:modified>
</cp:coreProperties>
</file>

<file path=docProps/custom.xml><?xml version="1.0" encoding="utf-8"?>
<Properties xmlns="http://schemas.openxmlformats.org/officeDocument/2006/custom-properties" xmlns:vt="http://schemas.openxmlformats.org/officeDocument/2006/docPropsVTypes"/>
</file>