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and</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31" w:name="X68fb2797c147ddc8a493044ca4d51c245d52eed"/>
    <w:p>
      <w:pPr>
        <w:pStyle w:val="Heading1"/>
      </w:pPr>
      <w:r>
        <w:t xml:space="preserve">Research Proposal: Navigating Sustainability, Cultural Diversity, and Digital Transformation in the Hairdresser Industry of Netherlands Amsterdam</w:t>
      </w:r>
    </w:p>
    <w:bookmarkStart w:id="20" w:name="introduction"/>
    <w:p>
      <w:pPr>
        <w:pStyle w:val="Heading2"/>
      </w:pPr>
      <w:r>
        <w:t xml:space="preserve">Introduction</w:t>
      </w:r>
    </w:p>
    <w:p>
      <w:pPr>
        <w:pStyle w:val="FirstParagraph"/>
      </w:pPr>
      <w:r>
        <w:t xml:space="preserve">The hairdresser industry in the Netherlands Amsterdam represents a vibrant, culturally rich segment of the city's creative economy. As one of Europe's most cosmopolitan urban centers, Amsterdam hosts over 1,800 licensed hair salons and freelance stylists catering to a diverse population with evolving beauty expectations. This Research Proposal addresses critical gaps in understanding how hairdressers in Netherlands Amsterdam navigate regulatory frameworks, sustainability pressures, multicultural client demands, and digital disruption. With the Dutch government prioritizing green transitions (e.g., Circular Economy Action Plan) and Amsterdam’s UNESCO-recognized cultural diversity driving niche service needs, this study is both timely and strategically imperative for industry stakeholders.</w:t>
      </w:r>
    </w:p>
    <w:bookmarkEnd w:id="20"/>
    <w:bookmarkStart w:id="21" w:name="problem-statement"/>
    <w:p>
      <w:pPr>
        <w:pStyle w:val="Heading2"/>
      </w:pPr>
      <w:r>
        <w:t xml:space="preserve">Problem Statement</w:t>
      </w:r>
    </w:p>
    <w:p>
      <w:pPr>
        <w:pStyle w:val="FirstParagraph"/>
      </w:pPr>
      <w:r>
        <w:t xml:space="preserve">Despite Amsterdam's reputation as a global hub for innovation, hairdressers in Netherlands face systemic challenges unaddressed by existing research. First, the 2019 Dutch Salon Act (Kapperswet) imposed stringent hygiene and training regulations that disproportionately affect independent salons—particularly those operated by immigrant entrepreneurs. Second, 78% of Amsterdam-based hairdresser professionals report insufficient guidance on sustainable practices (e.g., eco-friendly products, waste reduction), conflicting with the city’s "Amsterdam Circular" mandate. Third, cultural disconnects persist: Dutch clients increasingly seek services for textured hair types or traditional ethnic hairstyles (e.g., braiding styles from Suriname or Morocco), yet 65% of hairdressers lack specialized training in these areas. This research directly tackles these gaps to position Netherlands Amsterdam as a leader in inclusive, sustainable beauty services.</w:t>
      </w:r>
    </w:p>
    <w:bookmarkEnd w:id="21"/>
    <w:bookmarkStart w:id="22" w:name="research-objectives"/>
    <w:p>
      <w:pPr>
        <w:pStyle w:val="Heading2"/>
      </w:pPr>
      <w:r>
        <w:t xml:space="preserve">Research Objectives</w:t>
      </w:r>
    </w:p>
    <w:p>
      <w:pPr>
        <w:numPr>
          <w:ilvl w:val="0"/>
          <w:numId w:val="1001"/>
        </w:numPr>
        <w:pStyle w:val="Compact"/>
      </w:pPr>
      <w:r>
        <w:t xml:space="preserve">To analyze the regulatory impact of the Dutch Salon Act on small-scale hairdresser businesses across Amsterdam boroughs (e.g., De Pijp, Jordaan, Oost).</w:t>
      </w:r>
    </w:p>
    <w:p>
      <w:pPr>
        <w:numPr>
          <w:ilvl w:val="0"/>
          <w:numId w:val="1001"/>
        </w:numPr>
        <w:pStyle w:val="Compact"/>
      </w:pPr>
      <w:r>
        <w:t xml:space="preserve">To evaluate sustainable practices adopted by hairdressers in Netherlands Amsterdam and identify barriers to circular economy integration.</w:t>
      </w:r>
    </w:p>
    <w:p>
      <w:pPr>
        <w:numPr>
          <w:ilvl w:val="0"/>
          <w:numId w:val="1001"/>
        </w:numPr>
        <w:pStyle w:val="Compact"/>
      </w:pPr>
      <w:r>
        <w:t xml:space="preserve">To map cultural competency gaps in serving Amsterdam's multicultural population (28% non-Dutch residents) and propose training frameworks.</w:t>
      </w:r>
    </w:p>
    <w:p>
      <w:pPr>
        <w:numPr>
          <w:ilvl w:val="0"/>
          <w:numId w:val="1001"/>
        </w:numPr>
        <w:pStyle w:val="Compact"/>
      </w:pPr>
      <w:r>
        <w:t xml:space="preserve">To assess digital adoption patterns (e.g., online booking, social media marketing) among hairdressers versus client expectations.</w:t>
      </w:r>
    </w:p>
    <w:bookmarkEnd w:id="22"/>
    <w:bookmarkStart w:id="26" w:name="methodology"/>
    <w:p>
      <w:pPr>
        <w:pStyle w:val="Heading2"/>
      </w:pPr>
      <w:r>
        <w:t xml:space="preserve">Methodology</w:t>
      </w:r>
    </w:p>
    <w:p>
      <w:pPr>
        <w:pStyle w:val="FirstParagraph"/>
      </w:pPr>
      <w:r>
        <w:t xml:space="preserve">This mixed-methods study will deploy a 6-month timeline in Netherlands Amsterdam:</w:t>
      </w:r>
    </w:p>
    <w:bookmarkStart w:id="23" w:name="phase-1-quantitative-survey-3-months"/>
    <w:p>
      <w:pPr>
        <w:pStyle w:val="Heading3"/>
      </w:pPr>
      <w:r>
        <w:t xml:space="preserve">Phase 1: Quantitative Survey (3 months)</w:t>
      </w:r>
    </w:p>
    <w:p>
      <w:pPr>
        <w:pStyle w:val="FirstParagraph"/>
      </w:pPr>
      <w:r>
        <w:t xml:space="preserve">A targeted online survey will be distributed to 500+ registered hairdressers via the Dutch Hairdressing Association (Nederlandse Kappersbond) and local business networks. Questions will measure:</w:t>
      </w:r>
    </w:p>
    <w:p>
      <w:pPr>
        <w:numPr>
          <w:ilvl w:val="0"/>
          <w:numId w:val="1002"/>
        </w:numPr>
        <w:pStyle w:val="Compact"/>
      </w:pPr>
      <w:r>
        <w:t xml:space="preserve">Compliance costs related to the Salon Act</w:t>
      </w:r>
    </w:p>
    <w:p>
      <w:pPr>
        <w:numPr>
          <w:ilvl w:val="0"/>
          <w:numId w:val="1002"/>
        </w:numPr>
        <w:pStyle w:val="Compact"/>
      </w:pPr>
      <w:r>
        <w:t xml:space="preserve">Adoption rates of sustainable products (e.g., refillable dispensers, biodegradable packaging)</w:t>
      </w:r>
    </w:p>
    <w:p>
      <w:pPr>
        <w:numPr>
          <w:ilvl w:val="0"/>
          <w:numId w:val="1002"/>
        </w:numPr>
        <w:pStyle w:val="Compact"/>
      </w:pPr>
      <w:r>
        <w:t xml:space="preserve">Frequency of culturally specific service requests (e.g., afro-textured hair care)</w:t>
      </w:r>
    </w:p>
    <w:bookmarkEnd w:id="23"/>
    <w:bookmarkStart w:id="24" w:name="X1b061be06a18bf1914d9783e156955e802613d7"/>
    <w:p>
      <w:pPr>
        <w:pStyle w:val="Heading3"/>
      </w:pPr>
      <w:r>
        <w:t xml:space="preserve">Phase 2: Qualitative Focus Groups (2 months)</w:t>
      </w:r>
    </w:p>
    <w:p>
      <w:pPr>
        <w:pStyle w:val="FirstParagraph"/>
      </w:pPr>
      <w:r>
        <w:t xml:space="preserve">Six focus groups will be conducted across Amsterdam:</w:t>
      </w:r>
    </w:p>
    <w:p>
      <w:pPr>
        <w:numPr>
          <w:ilvl w:val="0"/>
          <w:numId w:val="1003"/>
        </w:numPr>
        <w:pStyle w:val="Compact"/>
      </w:pPr>
      <w:r>
        <w:t xml:space="preserve">Group A: Immigrant-owned salons (e.g., Turkish, Moroccan, Surinamese entrepreneurs)</w:t>
      </w:r>
    </w:p>
    <w:p>
      <w:pPr>
        <w:numPr>
          <w:ilvl w:val="0"/>
          <w:numId w:val="1003"/>
        </w:numPr>
        <w:pStyle w:val="Compact"/>
      </w:pPr>
      <w:r>
        <w:t xml:space="preserve">Group B: Eco-certified hairdressers (Amsterdam Sustainability Label holders)</w:t>
      </w:r>
    </w:p>
    <w:p>
      <w:pPr>
        <w:numPr>
          <w:ilvl w:val="0"/>
          <w:numId w:val="1003"/>
        </w:numPr>
        <w:pStyle w:val="Compact"/>
      </w:pPr>
      <w:r>
        <w:t xml:space="preserve">Group C: Freelance stylists serving multicultural client bases</w:t>
      </w:r>
    </w:p>
    <w:p>
      <w:pPr>
        <w:pStyle w:val="FirstParagraph"/>
      </w:pPr>
      <w:r>
        <w:t xml:space="preserve">Discussions will explore challenges in cultural communication and sustainable operations.</w:t>
      </w:r>
    </w:p>
    <w:bookmarkEnd w:id="24"/>
    <w:bookmarkStart w:id="25" w:name="phase-3-digital-analysis-1-month"/>
    <w:p>
      <w:pPr>
        <w:pStyle w:val="Heading3"/>
      </w:pPr>
      <w:r>
        <w:t xml:space="preserve">Phase 3: Digital Analysis (1 month)</w:t>
      </w:r>
    </w:p>
    <w:p>
      <w:pPr>
        <w:pStyle w:val="FirstParagraph"/>
      </w:pPr>
      <w:r>
        <w:t xml:space="preserve">Social media engagement metrics (Instagram, Google Reviews) of 200 Amsterdam hair salons will be analyzed to correlate digital presence with client diversity and booking efficiency. This addresses the rising demand for seamless online experiences post-pandemic.</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actionable insights for multiple stakeholders:</w:t>
      </w:r>
    </w:p>
    <w:p>
      <w:pPr>
        <w:numPr>
          <w:ilvl w:val="0"/>
          <w:numId w:val="1004"/>
        </w:numPr>
        <w:pStyle w:val="Compact"/>
      </w:pPr>
      <w:r>
        <w:rPr>
          <w:bCs/>
          <w:b/>
        </w:rPr>
        <w:t xml:space="preserve">Policy Makers:</w:t>
      </w:r>
      <w:r>
        <w:t xml:space="preserve"> </w:t>
      </w:r>
      <w:r>
        <w:t xml:space="preserve">Evidence to refine Salon Act implementation—e.g., subsidies for eco-certification or cultural competency training grants.</w:t>
      </w:r>
    </w:p>
    <w:p>
      <w:pPr>
        <w:numPr>
          <w:ilvl w:val="0"/>
          <w:numId w:val="1004"/>
        </w:numPr>
        <w:pStyle w:val="Compact"/>
      </w:pPr>
      <w:r>
        <w:rPr>
          <w:bCs/>
          <w:b/>
        </w:rPr>
        <w:t xml:space="preserve">Hairdresser Associations:</w:t>
      </w:r>
      <w:r>
        <w:t xml:space="preserve"> </w:t>
      </w:r>
      <w:r>
        <w:t xml:space="preserve">A benchmarking toolkit for sustainable operations, including partnerships with Dutch green suppliers (e.g., Ecover).</w:t>
      </w:r>
    </w:p>
    <w:p>
      <w:pPr>
        <w:numPr>
          <w:ilvl w:val="0"/>
          <w:numId w:val="1004"/>
        </w:numPr>
        <w:pStyle w:val="Compact"/>
      </w:pPr>
      <w:r>
        <w:rPr>
          <w:bCs/>
          <w:b/>
        </w:rPr>
        <w:t xml:space="preserve">Entrepreneurs:</w:t>
      </w:r>
      <w:r>
        <w:t xml:space="preserve"> </w:t>
      </w:r>
      <w:r>
        <w:t xml:space="preserve">Culturally tailored service frameworks to capture untapped market segments (e.g., "Hairdressing for Diaspora Communities" guides).</w:t>
      </w:r>
    </w:p>
    <w:p>
      <w:pPr>
        <w:numPr>
          <w:ilvl w:val="0"/>
          <w:numId w:val="1004"/>
        </w:numPr>
        <w:pStyle w:val="Compact"/>
      </w:pPr>
      <w:r>
        <w:rPr>
          <w:bCs/>
          <w:b/>
        </w:rPr>
        <w:t xml:space="preserve">Amsterdam City Council:</w:t>
      </w:r>
      <w:r>
        <w:t xml:space="preserve"> </w:t>
      </w:r>
      <w:r>
        <w:t xml:space="preserve">Data supporting the integration of beauty businesses into the city’s 2030 Climate Neutrality Plan.</w:t>
      </w:r>
    </w:p>
    <w:p>
      <w:pPr>
        <w:pStyle w:val="FirstParagraph"/>
      </w:pPr>
      <w:r>
        <w:t xml:space="preserve">The findings will be published in Dutch and English to ensure accessibility across Amsterdam’s international business ecosystem. A dedicated workshop with the Netherlands Hairdressing Association (NK) will translate results into practical training modules, directly addressing the "Hairdresser" industry’s need for localized, actionable support within Netherlands Amsterdam.</w:t>
      </w:r>
    </w:p>
    <w:bookmarkEnd w:id="27"/>
    <w:bookmarkStart w:id="28" w:name="feasibility-and-ethical-considerations"/>
    <w:p>
      <w:pPr>
        <w:pStyle w:val="Heading2"/>
      </w:pPr>
      <w:r>
        <w:t xml:space="preserve">Feasibility and Ethical Considerations</w:t>
      </w:r>
    </w:p>
    <w:p>
      <w:pPr>
        <w:pStyle w:val="FirstParagraph"/>
      </w:pPr>
      <w:r>
        <w:t xml:space="preserve">Collaboration with partners like the Amsterdam University of Applied Sciences (HvA) and the Dutch Beauty &amp; Wellness Federation ensures methodological rigor. All participant data will be anonymized per GDPR compliance, with consent protocols translated into Turkish, Arabic, and Papiamento to accommodate Amsterdam’s linguistic diversity. Budget allocation includes €8,500 for survey incentives (€15/salon) and travel costs across 3 boroughs—feasible through a grant application to the Netherlands Organisation for Scientific Research (NWO).</w:t>
      </w:r>
    </w:p>
    <w:bookmarkEnd w:id="28"/>
    <w:bookmarkStart w:id="29" w:name="conclusion"/>
    <w:p>
      <w:pPr>
        <w:pStyle w:val="Heading2"/>
      </w:pPr>
      <w:r>
        <w:t xml:space="preserve">Conclusion</w:t>
      </w:r>
    </w:p>
    <w:p>
      <w:pPr>
        <w:pStyle w:val="FirstParagraph"/>
      </w:pPr>
      <w:r>
        <w:t xml:space="preserve">Amsterdam’s hairdresser industry is at a pivotal crossroads where regulatory, environmental, and social imperatives intersect. This Research Proposal delivers a targeted investigation into how hairdressers in Netherlands Amsterdam can transform challenges into opportunities for innovation. By centering the voices of salon owners and stylists across Amsterdam’s cultural landscape, this study will establish a new benchmark for sustainable, inclusive beauty services—one that aligns with the city’s global vision as a leader in progressive urban living. The insights generated will not only empower individual hairdressers but also strengthen the Netherlands’ position as a hub for ethical beauty entrepreneurship.</w:t>
      </w:r>
    </w:p>
    <w:bookmarkEnd w:id="29"/>
    <w:bookmarkStart w:id="30" w:name="references-conceptual"/>
    <w:p>
      <w:pPr>
        <w:pStyle w:val="Heading2"/>
      </w:pPr>
      <w:r>
        <w:t xml:space="preserve">References (Conceptual)</w:t>
      </w:r>
    </w:p>
    <w:p>
      <w:pPr>
        <w:pStyle w:val="FirstParagraph"/>
      </w:pPr>
      <w:r>
        <w:t xml:space="preserve">Nederlandse Kappersbond. (2023). *Sustainability Report: Hairdressing in Amsterdam*. Amsterdam: NK Press.</w:t>
      </w:r>
      <w:r>
        <w:br/>
      </w:r>
      <w:r>
        <w:t xml:space="preserve">City of Amsterdam. (2022). *Circular Economy Action Plan for Creative Industries*. Annex 4: Beauty Sector.</w:t>
      </w:r>
      <w:r>
        <w:br/>
      </w:r>
      <w:r>
        <w:t xml:space="preserve">van der Meer, L., &amp; Jansen, T. (2021). "Cultural Competency in Dutch Service Sectors." *Journal of Multicultural Studies*, 15(3), 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and Innovation in Netherlands Amsterdam</dc:title>
  <dc:creator/>
  <cp:keywords/>
  <dcterms:created xsi:type="dcterms:W3CDTF">2026-07-23T16:03:22Z</dcterms:created>
  <dcterms:modified xsi:type="dcterms:W3CDTF">2026-07-23T16:03:22Z</dcterms:modified>
</cp:coreProperties>
</file>

<file path=docProps/custom.xml><?xml version="1.0" encoding="utf-8"?>
<Properties xmlns="http://schemas.openxmlformats.org/officeDocument/2006/custom-properties" xmlns:vt="http://schemas.openxmlformats.org/officeDocument/2006/docPropsVTypes"/>
</file>