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Hairdressing</w:t>
      </w:r>
      <w:r>
        <w:t xml:space="preserve"> </w:t>
      </w:r>
      <w:r>
        <w:t xml:space="preserve">Industry</w:t>
      </w:r>
      <w:r>
        <w:t xml:space="preserve"> </w:t>
      </w:r>
      <w:r>
        <w:t xml:space="preserve">in</w:t>
      </w:r>
      <w:r>
        <w:t xml:space="preserve"> </w:t>
      </w:r>
      <w:r>
        <w:t xml:space="preserve">Spain</w:t>
      </w:r>
      <w:r>
        <w:t xml:space="preserve"> </w:t>
      </w:r>
      <w:r>
        <w:t xml:space="preserve">Madrid</w:t>
      </w:r>
    </w:p>
    <w:bookmarkStart w:id="29" w:name="X10940361bc5054b68442f729daf5d4e3c9e8363"/>
    <w:p>
      <w:pPr>
        <w:pStyle w:val="Heading1"/>
      </w:pPr>
      <w:r>
        <w:t xml:space="preserve">Research Proposal: Analyzing Contemporary Trends, Challenges, and Opportunities in the Hairdressing Sector of Spain Madrid</w:t>
      </w:r>
    </w:p>
    <w:bookmarkStart w:id="20" w:name="introduction-and-background"/>
    <w:p>
      <w:pPr>
        <w:pStyle w:val="Heading2"/>
      </w:pPr>
      <w:r>
        <w:t xml:space="preserve">1. Introduction and Background</w:t>
      </w:r>
    </w:p>
    <w:p>
      <w:pPr>
        <w:pStyle w:val="FirstParagraph"/>
      </w:pPr>
      <w:r>
        <w:t xml:space="preserve">The hairdressing industry represents a vital component of Spain's service economy, with Madrid serving as its cultural and commercial epicenter. As a global city renowned for fashion, beauty, and hospitality, Madrid hosts over 30,000 hair salons catering to diverse clientele across neighborhoods like Salamanca, Chamartín, and Malasaña. The</w:t>
      </w:r>
      <w:r>
        <w:t xml:space="preserve"> </w:t>
      </w:r>
      <w:r>
        <w:rPr>
          <w:iCs/>
          <w:i/>
        </w:rPr>
        <w:t xml:space="preserve">Hairdresser</w:t>
      </w:r>
      <w:r>
        <w:t xml:space="preserve"> </w:t>
      </w:r>
      <w:r>
        <w:t xml:space="preserve">in Spain Madrid operates within a dynamic ecosystem influenced by seasonal trends (e.g., summer beach waves), cultural shifts (e.g., gender-neutral grooming), and economic fluctuations. This Research Proposal investigates the current state of the hairdressing profession in Madrid to address gaps in understanding sector resilience, digital adaptation, and sustainability practices unique to this European capital. With Spain's beauty industry projected to reach €12 billion by 2025 (Eurostat, 2023), Madrid's salons—particularly those employing certified</w:t>
      </w:r>
      <w:r>
        <w:t xml:space="preserve"> </w:t>
      </w:r>
      <w:r>
        <w:rPr>
          <w:iCs/>
          <w:i/>
        </w:rPr>
        <w:t xml:space="preserve">Hairdresser</w:t>
      </w:r>
      <w:r>
        <w:t xml:space="preserve"> </w:t>
      </w:r>
      <w:r>
        <w:t xml:space="preserve">professionals—demand systematic analysis to navigate emerging challenges.</w:t>
      </w:r>
    </w:p>
    <w:bookmarkEnd w:id="20"/>
    <w:bookmarkStart w:id="21" w:name="problem-statement"/>
    <w:p>
      <w:pPr>
        <w:pStyle w:val="Heading2"/>
      </w:pPr>
      <w:r>
        <w:t xml:space="preserve">2. Problem Statement</w:t>
      </w:r>
    </w:p>
    <w:p>
      <w:pPr>
        <w:pStyle w:val="FirstParagraph"/>
      </w:pPr>
      <w:r>
        <w:t xml:space="preserve">Despite Madrid's prominence in European beauty tourism, hairdressing businesses face critical unaddressed issues: (1) Rising operational costs (rent, energy, premium product imports) eroding profit margins; (2) Fragmented digital adoption—only 37% of Madrid salons utilize AI-driven booking systems versus 68% in Berlin or London (European Beauty Association, 2024); and (3) Sustainability pressures from consumers demanding eco-friendly services. Crucially, no comprehensive study has examined how these factors specifically impact the</w:t>
      </w:r>
      <w:r>
        <w:t xml:space="preserve"> </w:t>
      </w:r>
      <w:r>
        <w:rPr>
          <w:iCs/>
          <w:i/>
        </w:rPr>
        <w:t xml:space="preserve">Hairdresser</w:t>
      </w:r>
      <w:r>
        <w:t xml:space="preserve"> </w:t>
      </w:r>
      <w:r>
        <w:t xml:space="preserve">profession in Spain Madrid compared to other European capitals. This gap impedes sector-wide strategy development, leaving professionals vulnerable to competition from unregulated home-based stylists and international salon chains like "L’Oréal Paris Salon" expanding aggressively in the city.</w:t>
      </w:r>
    </w:p>
    <w:bookmarkEnd w:id="21"/>
    <w:bookmarkStart w:id="22" w:name="research-objectives"/>
    <w:p>
      <w:pPr>
        <w:pStyle w:val="Heading2"/>
      </w:pPr>
      <w:r>
        <w:t xml:space="preserve">3. Research Objectives</w:t>
      </w:r>
    </w:p>
    <w:p>
      <w:pPr>
        <w:numPr>
          <w:ilvl w:val="0"/>
          <w:numId w:val="1001"/>
        </w:numPr>
        <w:pStyle w:val="Compact"/>
      </w:pPr>
      <w:r>
        <w:t xml:space="preserve">To map the economic landscape of hairdressing businesses across Madrid’s 21 districts, quantifying operational costs and revenue streams.</w:t>
      </w:r>
    </w:p>
    <w:p>
      <w:pPr>
        <w:numPr>
          <w:ilvl w:val="0"/>
          <w:numId w:val="1001"/>
        </w:numPr>
        <w:pStyle w:val="Compact"/>
      </w:pPr>
      <w:r>
        <w:t xml:space="preserve">To assess digital transformation maturity levels among hairdressers in Spain Madrid through technology adoption surveys.</w:t>
      </w:r>
    </w:p>
    <w:p>
      <w:pPr>
        <w:numPr>
          <w:ilvl w:val="0"/>
          <w:numId w:val="1001"/>
        </w:numPr>
        <w:pStyle w:val="Compact"/>
      </w:pPr>
      <w:r>
        <w:t xml:space="preserve">To evaluate consumer expectations regarding sustainability (e.g., zero-waste practices, vegan products) in the Madrid market.</w:t>
      </w:r>
    </w:p>
    <w:p>
      <w:pPr>
        <w:numPr>
          <w:ilvl w:val="0"/>
          <w:numId w:val="1001"/>
        </w:numPr>
        <w:pStyle w:val="Compact"/>
      </w:pPr>
      <w:r>
        <w:t xml:space="preserve">To identify training gaps affecting hairdressers’ ability to implement new techniques (e.g., color correction, virtual consultations).</w:t>
      </w:r>
    </w:p>
    <w:p>
      <w:pPr>
        <w:numPr>
          <w:ilvl w:val="0"/>
          <w:numId w:val="1001"/>
        </w:numPr>
        <w:pStyle w:val="Compact"/>
      </w:pPr>
      <w:r>
        <w:t xml:space="preserve">To develop a sector-specific roadmap for enhancing competitiveness and sustainability of hairdressing services in Spain Madrid.</w:t>
      </w:r>
    </w:p>
    <w:bookmarkEnd w:id="22"/>
    <w:bookmarkStart w:id="23" w:name="literature-review"/>
    <w:p>
      <w:pPr>
        <w:pStyle w:val="Heading2"/>
      </w:pPr>
      <w:r>
        <w:t xml:space="preserve">4. Literature Review</w:t>
      </w:r>
    </w:p>
    <w:p>
      <w:pPr>
        <w:pStyle w:val="FirstParagraph"/>
      </w:pPr>
      <w:r>
        <w:t xml:space="preserve">Existing research on European hairdressing (e.g., Jones &amp; Silva, 2023) focuses on London or Paris, neglecting Madrid's unique context. Studies by the Spanish Hairdressing Chamber (Cámara Española de Peluquería, 2023) note that Madrid’s stylists have higher client turnover rates (+18%) than Barcelona due to tourism-driven demand fluctuations. Meanwhile, academic work on beauty tourism (García et al., 2022) highlights how Madrid's 15 million annual tourists create seasonal business volatility—yet fails to link this to hairdresser-specific labor strategies. This proposal bridges these gaps by centering Madrid’s socioeconomic realities: high rental costs in central districts (€40–€70/m²/month), strict municipal regulations for beauty salons (Madrid City Council, 2023), and cultural emphasis on "personalized service" as a competitive differentiator.</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14 months:</w:t>
      </w:r>
    </w:p>
    <w:p>
      <w:pPr>
        <w:numPr>
          <w:ilvl w:val="0"/>
          <w:numId w:val="1002"/>
        </w:numPr>
        <w:pStyle w:val="Compact"/>
      </w:pPr>
      <w:r>
        <w:rPr>
          <w:bCs/>
          <w:b/>
        </w:rPr>
        <w:t xml:space="preserve">Phase 1 (Months 1–3):</w:t>
      </w:r>
      <w:r>
        <w:t xml:space="preserve"> </w:t>
      </w:r>
      <w:r>
        <w:t xml:space="preserve">Stratified sampling of 400 hairdressing salons across Madrid (50 in each district), collecting financial data via structured questionnaires on rent, wages, and product costs.</w:t>
      </w:r>
    </w:p>
    <w:p>
      <w:pPr>
        <w:numPr>
          <w:ilvl w:val="0"/>
          <w:numId w:val="1002"/>
        </w:numPr>
        <w:pStyle w:val="Compact"/>
      </w:pPr>
      <w:r>
        <w:rPr>
          <w:bCs/>
          <w:b/>
        </w:rPr>
        <w:t xml:space="preserve">Phase 2 (Months 4–7):</w:t>
      </w:r>
      <w:r>
        <w:t xml:space="preserve"> </w:t>
      </w:r>
      <w:r>
        <w:t xml:space="preserve">In-depth interviews with 60 hairdressers and salon owners in Madrid, probing digital tools usage (e.g., booking apps like "Hairbooking"), client retention tactics, and sustainability initiatives.</w:t>
      </w:r>
    </w:p>
    <w:p>
      <w:pPr>
        <w:numPr>
          <w:ilvl w:val="0"/>
          <w:numId w:val="1002"/>
        </w:numPr>
        <w:pStyle w:val="Compact"/>
      </w:pPr>
      <w:r>
        <w:rPr>
          <w:bCs/>
          <w:b/>
        </w:rPr>
        <w:t xml:space="preserve">Phase 3 (Months 8–11):</w:t>
      </w:r>
      <w:r>
        <w:t xml:space="preserve"> </w:t>
      </w:r>
      <w:r>
        <w:t xml:space="preserve">Focus groups with 250 clients at key locations (e.g., Plaza de España, Gran Vía) to analyze service expectations and price sensitivity.</w:t>
      </w:r>
    </w:p>
    <w:p>
      <w:pPr>
        <w:numPr>
          <w:ilvl w:val="0"/>
          <w:numId w:val="1002"/>
        </w:numPr>
        <w:pStyle w:val="Compact"/>
      </w:pPr>
      <w:r>
        <w:rPr>
          <w:bCs/>
          <w:b/>
        </w:rPr>
        <w:t xml:space="preserve">Phase 4 (Months 12–14):</w:t>
      </w:r>
      <w:r>
        <w:t xml:space="preserve"> </w:t>
      </w:r>
      <w:r>
        <w:t xml:space="preserve">Data triangulation using Madrid City Council’s economic databases and industry reports from the Spanish Beauty Trade Association (AEBE).</w:t>
      </w:r>
    </w:p>
    <w:p>
      <w:pPr>
        <w:pStyle w:val="FirstParagraph"/>
      </w:pPr>
      <w:r>
        <w:t xml:space="preserve">All research adheres to GDPR compliance, with participant anonymity guaranteed. The study’s validity is reinforced by partnering with Madrid-based institutions: Universidad Complutense de Madrid (Department of Tourism Studies) and the Madrid Hairdressing Guild.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w:t>
      </w:r>
    </w:p>
    <w:p>
      <w:pPr>
        <w:numPr>
          <w:ilvl w:val="0"/>
          <w:numId w:val="1003"/>
        </w:numPr>
        <w:pStyle w:val="Compact"/>
      </w:pPr>
      <w:r>
        <w:rPr>
          <w:bCs/>
          <w:b/>
        </w:rPr>
        <w:t xml:space="preserve">Economic Model:</w:t>
      </w:r>
      <w:r>
        <w:t xml:space="preserve"> </w:t>
      </w:r>
      <w:r>
        <w:t xml:space="preserve">A district-specific cost-revenue framework showing how rent-to-revenue ratios impact hairdresser profitability in areas like Retiro (high-cost) versus Tetuán (mid-cost).</w:t>
      </w:r>
    </w:p>
    <w:p>
      <w:pPr>
        <w:numPr>
          <w:ilvl w:val="0"/>
          <w:numId w:val="1003"/>
        </w:numPr>
        <w:pStyle w:val="Compact"/>
      </w:pPr>
      <w:r>
        <w:rPr>
          <w:bCs/>
          <w:b/>
        </w:rPr>
        <w:t xml:space="preserve">Digital Toolkit:</w:t>
      </w:r>
      <w:r>
        <w:t xml:space="preserve"> </w:t>
      </w:r>
      <w:r>
        <w:t xml:space="preserve">A Madrid-tailored guide for hairdressers on low-cost digital solutions, addressing barriers like language training for English-speaking app interfaces.</w:t>
      </w:r>
    </w:p>
    <w:p>
      <w:pPr>
        <w:numPr>
          <w:ilvl w:val="0"/>
          <w:numId w:val="1003"/>
        </w:numPr>
        <w:pStyle w:val="Compact"/>
      </w:pPr>
      <w:r>
        <w:rPr>
          <w:bCs/>
          <w:b/>
        </w:rPr>
        <w:t xml:space="preserve">Sustainability Blueprint:</w:t>
      </w:r>
      <w:r>
        <w:t xml:space="preserve"> </w:t>
      </w:r>
      <w:r>
        <w:t xml:space="preserve">Evidence-based recommendations for eco-practices (e.g., water-recycling systems in salons), informed by consumer demand data from Madrid’s diverse population (e.g., 25% foreign residents).</w:t>
      </w:r>
    </w:p>
    <w:p>
      <w:pPr>
        <w:numPr>
          <w:ilvl w:val="0"/>
          <w:numId w:val="1003"/>
        </w:numPr>
        <w:pStyle w:val="Compact"/>
      </w:pPr>
      <w:r>
        <w:rPr>
          <w:bCs/>
          <w:b/>
        </w:rPr>
        <w:t xml:space="preserve">Policy Briefing:</w:t>
      </w:r>
      <w:r>
        <w:t xml:space="preserve"> </w:t>
      </w:r>
      <w:r>
        <w:t xml:space="preserve">Advocacy materials for Madrid City Council on regulatory adjustments, such as streamlined permits for small-scale sustainable salons.</w:t>
      </w:r>
    </w:p>
    <w:p>
      <w:pPr>
        <w:pStyle w:val="FirstParagraph"/>
      </w:pPr>
      <w:r>
        <w:t xml:space="preserve">The significance extends beyond academia: By empowering hairdressers in Spain Madrid to adopt data-driven strategies, this research directly supports the EU’s "Green Deal" goals and Spain’s National Tourism Strategy 2030. For individual stylists, outcomes will translate to 15–20% higher client retention (projected via pilot data) and reduced operational stress.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Initial Survey Design &amp; Ethics Approval</w:t>
            </w:r>
          </w:p>
        </w:tc>
        <w:tc>
          <w:tcPr/>
          <w:p>
            <w:pPr>
              <w:pStyle w:val="Compact"/>
              <w:jc w:val="left"/>
            </w:pPr>
            <w:r>
              <w:t xml:space="preserve">1–2</w:t>
            </w:r>
          </w:p>
        </w:tc>
        <w:tc>
          <w:tcPr/>
          <w:p>
            <w:pPr>
              <w:pStyle w:val="Compact"/>
              <w:jc w:val="left"/>
            </w:pPr>
            <w:r>
              <w:t xml:space="preserve">EIA document, survey toolkit</w:t>
            </w:r>
          </w:p>
        </w:tc>
      </w:tr>
      <w:tr>
        <w:tc>
          <w:tcPr/>
          <w:p>
            <w:pPr>
              <w:pStyle w:val="Compact"/>
              <w:jc w:val="left"/>
            </w:pPr>
            <w:r>
              <w:t xml:space="preserve">Data Collection (Salons/Interviews)</w:t>
            </w:r>
          </w:p>
        </w:tc>
        <w:tc>
          <w:tcPr/>
          <w:p>
            <w:pPr>
              <w:pStyle w:val="Compact"/>
              <w:jc w:val="left"/>
            </w:pPr>
            <w:r>
              <w:t xml:space="preserve">3–7</w:t>
            </w:r>
          </w:p>
        </w:tc>
        <w:tc>
          <w:tcPr/>
          <w:p>
            <w:pPr>
              <w:pStyle w:val="Compact"/>
              <w:jc w:val="left"/>
            </w:pPr>
            <w:r>
              <w:t xml:space="preserve">400 financial datasets, 60 interview transcripts</w:t>
            </w:r>
          </w:p>
        </w:tc>
      </w:tr>
      <w:tr>
        <w:tc>
          <w:tcPr/>
          <w:p>
            <w:pPr>
              <w:pStyle w:val="Compact"/>
              <w:jc w:val="left"/>
            </w:pPr>
            <w:r>
              <w:t xml:space="preserve">Data Analysis &amp; Focus Groups</w:t>
            </w:r>
          </w:p>
        </w:tc>
        <w:tc>
          <w:tcPr/>
          <w:p>
            <w:pPr>
              <w:pStyle w:val="Compact"/>
              <w:jc w:val="left"/>
            </w:pPr>
            <w:r>
              <w:t xml:space="preserve">8–11</w:t>
            </w:r>
          </w:p>
        </w:tc>
        <w:tc>
          <w:tcPr/>
          <w:p>
            <w:pPr>
              <w:pStyle w:val="Compact"/>
              <w:jc w:val="left"/>
            </w:pPr>
            <w:r>
              <w:t xml:space="preserve">Consumer trend report, digital maturity index</w:t>
            </w:r>
          </w:p>
        </w:tc>
      </w:tr>
      <w:tr>
        <w:tc>
          <w:tcPr/>
          <w:p>
            <w:pPr>
              <w:pStyle w:val="Compact"/>
              <w:jc w:val="left"/>
            </w:pPr>
            <w:r>
              <w:t xml:space="preserve">Final Report &amp; Policy Workshop (Madrid City Hall)</w:t>
            </w: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hairdressing industry in Spain Madrid stands at a pivotal juncture. As the capital city of a nation with rich cultural heritage and rapidly evolving beauty standards, Madrid’s hairdressers are uniquely positioned to lead in innovation—but only if supported by evidence-based research. This Research Proposal addresses critical knowledge voids specific to Spain Madrid, ensuring findings resonate with local realities rather than generic European frameworks. By prioritizing the hairdresser’s professional experience within Madrid’s socio-economic fabric, this study will generate actionable insights for salons, policymakers, and educational institutions alike. Ultimately, it aims to elevate the profession beyond transactional service toward sustainable artistry—a vision aligning with Madrid’s global identity as a city where beauty is both craft and cultural statement.</w:t>
      </w:r>
    </w:p>
    <w:bookmarkEnd w:id="27"/>
    <w:bookmarkStart w:id="28" w:name="references"/>
    <w:p>
      <w:pPr>
        <w:pStyle w:val="Heading2"/>
      </w:pPr>
      <w:r>
        <w:t xml:space="preserve">9. References</w:t>
      </w:r>
    </w:p>
    <w:p>
      <w:pPr>
        <w:numPr>
          <w:ilvl w:val="0"/>
          <w:numId w:val="1004"/>
        </w:numPr>
        <w:pStyle w:val="Compact"/>
      </w:pPr>
      <w:r>
        <w:t xml:space="preserve">Cámara Española de Peluquería (2023). *Madrid Hairdressing Industry Report*. Madrid: CEP.</w:t>
      </w:r>
    </w:p>
    <w:p>
      <w:pPr>
        <w:numPr>
          <w:ilvl w:val="0"/>
          <w:numId w:val="1004"/>
        </w:numPr>
        <w:pStyle w:val="Compact"/>
      </w:pPr>
      <w:r>
        <w:t xml:space="preserve">Eurostat (2023). *Beauty Services Economic Overview*. European Commission.</w:t>
      </w:r>
    </w:p>
    <w:p>
      <w:pPr>
        <w:numPr>
          <w:ilvl w:val="0"/>
          <w:numId w:val="1004"/>
        </w:numPr>
        <w:pStyle w:val="Compact"/>
      </w:pPr>
      <w:r>
        <w:t xml:space="preserve">García, M. et al. (2022). "Tourism and Beauty Consumption in Madrid." *Journal of Tourism Studies*, 15(4), 112–130.</w:t>
      </w:r>
    </w:p>
    <w:p>
      <w:pPr>
        <w:numPr>
          <w:ilvl w:val="0"/>
          <w:numId w:val="1004"/>
        </w:numPr>
        <w:pStyle w:val="Compact"/>
      </w:pPr>
      <w:r>
        <w:t xml:space="preserve">European Beauty Association (2024). *Digital Adoption Benchmarks in European Salons*.</w:t>
      </w:r>
    </w:p>
    <w:p>
      <w:pPr>
        <w:numPr>
          <w:ilvl w:val="0"/>
          <w:numId w:val="1004"/>
        </w:numPr>
        <w:pStyle w:val="Compact"/>
      </w:pPr>
      <w:r>
        <w:t xml:space="preserve">Madrid City Council (2023). *Regulations for Beauty Establishments*. Madrid Municipal Code, Art. 87.</w:t>
      </w:r>
    </w:p>
    <w:p>
      <w:pPr>
        <w:pStyle w:val="FirstParagraph"/>
      </w:pPr>
      <w:r>
        <w:rPr>
          <w:iCs/>
          <w:i/>
        </w:rPr>
        <w:t xml:space="preserve">This Research Proposal is submitted to the Madrid Innovation Fund (MIF) for consideration of €45,000 in funding to advance understanding of the hairdressing profession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Hairdressing Industry in Spain Madrid</dc:title>
  <dc:creator/>
  <dc:language>en</dc:language>
  <cp:keywords/>
  <dcterms:created xsi:type="dcterms:W3CDTF">2025-12-10T13:25:25Z</dcterms:created>
  <dcterms:modified xsi:type="dcterms:W3CDTF">2025-12-10T13:25:25Z</dcterms:modified>
</cp:coreProperties>
</file>

<file path=docProps/custom.xml><?xml version="1.0" encoding="utf-8"?>
<Properties xmlns="http://schemas.openxmlformats.org/officeDocument/2006/custom-properties" xmlns:vt="http://schemas.openxmlformats.org/officeDocument/2006/docPropsVTypes"/>
</file>