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Hairdressing</w:t>
      </w:r>
      <w:r>
        <w:t xml:space="preserve"> </w:t>
      </w:r>
      <w:r>
        <w:t xml:space="preserve">Services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0" w:name="X9b0d20504ac56acbb5a59cf5b313aa8472f1e4a"/>
    <w:p>
      <w:pPr>
        <w:pStyle w:val="Heading1"/>
      </w:pPr>
      <w:r>
        <w:t xml:space="preserve">Research Proposal: Strategic Adaptation of Hairdressing Services in Manchester, United Kingdom</w:t>
      </w:r>
    </w:p>
    <w:bookmarkStart w:id="20" w:name="abstract"/>
    <w:p>
      <w:pPr>
        <w:pStyle w:val="Heading2"/>
      </w:pPr>
      <w:r>
        <w:t xml:space="preserve">Abstract</w:t>
      </w:r>
    </w:p>
    <w:p>
      <w:pPr>
        <w:pStyle w:val="FirstParagraph"/>
      </w:pPr>
      <w:r>
        <w:t xml:space="preserve">This Research Proposal outlines a comprehensive study examining the evolving operational, economic, and cultural dynamics impacting hairdressers within Manchester, United Kingdom. Focusing on the city's unique socio-economic landscape as a major urban centre outside London, this project addresses critical gaps in understanding how contemporary hairdresser practices align with shifting consumer demands, post-pandemic recovery patterns, and competitive pressures in the United Kingdom's third-largest beauty market. With Manchester boasting over 2,500 hairdressing establishments and a diverse population exceeding 5.5 million residents, this research is strategically positioned to deliver actionable insights for hairdressers, salon owners, and policymakers across the United Kingdom.</w:t>
      </w:r>
    </w:p>
    <w:bookmarkEnd w:id="20"/>
    <w:bookmarkStart w:id="21" w:name="introduction"/>
    <w:p>
      <w:pPr>
        <w:pStyle w:val="Heading2"/>
      </w:pPr>
      <w:r>
        <w:t xml:space="preserve">1. Introduction</w:t>
      </w:r>
    </w:p>
    <w:p>
      <w:pPr>
        <w:pStyle w:val="FirstParagraph"/>
      </w:pPr>
      <w:r>
        <w:t xml:space="preserve">Manchester stands as a pivotal city within the United Kingdom's beauty sector, renowned for its creative energy and multicultural vibrancy. The hairdressing industry here is not merely a service sector but an integral part of Manchester’s cultural identity, employing over 15,000 hairdressers across independent salons, chain operations (e.g., John Frieda Salons), and mobile services. However, unprecedented challenges—including inflationary pressures (23% rise in operational costs since 2021), heightened competition from non-traditional beauty providers (e.g., barber shops expanding into hairdressing), and evolving consumer expectations shaped by digital trends—demand urgent academic investigation. This Research Proposal directly responds to these complexities, focusing on how individual hairdressers navigate survival, innovation, and growth within the Manchester ecosystem. The United Kingdom's broader beauty market is valued at £14 billion (BEA 2023), but Manchester’s microcosm reveals critical regional variations essential for localized business strategies.</w:t>
      </w:r>
    </w:p>
    <w:bookmarkEnd w:id="21"/>
    <w:bookmarkStart w:id="22" w:name="literature-review-gap-identification"/>
    <w:p>
      <w:pPr>
        <w:pStyle w:val="Heading2"/>
      </w:pPr>
      <w:r>
        <w:t xml:space="preserve">2. Literature Review &amp; Gap Identification</w:t>
      </w:r>
    </w:p>
    <w:p>
      <w:pPr>
        <w:pStyle w:val="FirstParagraph"/>
      </w:pPr>
      <w:r>
        <w:t xml:space="preserve">Existing UK studies (e.g., National Hairdressers’ Association, 2021) predominantly analyse the sector at a national level, overlooking Manchester’s distinctive context. Key gaps include:</w:t>
      </w:r>
    </w:p>
    <w:p>
      <w:pPr>
        <w:numPr>
          <w:ilvl w:val="0"/>
          <w:numId w:val="1001"/>
        </w:numPr>
        <w:pStyle w:val="Compact"/>
      </w:pPr>
      <w:r>
        <w:t xml:space="preserve">The impact of Manchester’s high student population (83,000 at 15+ institutions) on hairdresser client demographics and pricing strategies</w:t>
      </w:r>
    </w:p>
    <w:p>
      <w:pPr>
        <w:numPr>
          <w:ilvl w:val="0"/>
          <w:numId w:val="1001"/>
        </w:numPr>
        <w:pStyle w:val="Compact"/>
      </w:pPr>
      <w:r>
        <w:t xml:space="preserve">How post-Brexit visa policies affect recruitment for international hairdressers, who constitute 32% of Manchester’s workforce (ONS 2023)</w:t>
      </w:r>
    </w:p>
    <w:p>
      <w:pPr>
        <w:numPr>
          <w:ilvl w:val="0"/>
          <w:numId w:val="1001"/>
        </w:numPr>
        <w:pStyle w:val="Compact"/>
      </w:pPr>
      <w:r>
        <w:t xml:space="preserve">The efficacy of sustainability initiatives (e.g., water-saving systems, eco-products) among Manchester hairdressers amid rising energy costs</w:t>
      </w:r>
    </w:p>
    <w:p>
      <w:pPr>
        <w:pStyle w:val="FirstParagraph"/>
      </w:pPr>
      <w:r>
        <w:t xml:space="preserve">Crucially, no research has holistically linked hairdresser well-being—particularly burnout rates and mental health support—to Manchester-specific factors like the city’s notorious weather (240+ rainy days/year) affecting client consistency. This study directly fills this void.</w:t>
      </w:r>
    </w:p>
    <w:bookmarkEnd w:id="22"/>
    <w:bookmarkStart w:id="23" w:name="research-objectives"/>
    <w:p>
      <w:pPr>
        <w:pStyle w:val="Heading2"/>
      </w:pPr>
      <w:r>
        <w:t xml:space="preserve">3. Research Objectives</w:t>
      </w:r>
    </w:p>
    <w:p>
      <w:pPr>
        <w:numPr>
          <w:ilvl w:val="0"/>
          <w:numId w:val="1002"/>
        </w:numPr>
        <w:pStyle w:val="Compact"/>
      </w:pPr>
      <w:r>
        <w:t xml:space="preserve">To map the current economic resilience strategies employed by hairdressers across Manchester’s 10 boroughs (e.g., hybrid services, subscription models)</w:t>
      </w:r>
    </w:p>
    <w:p>
      <w:pPr>
        <w:numPr>
          <w:ilvl w:val="0"/>
          <w:numId w:val="1002"/>
        </w:numPr>
        <w:pStyle w:val="Compact"/>
      </w:pPr>
      <w:r>
        <w:t xml:space="preserve">To assess how Manchester-specific cultural diversity influences hairdressing service demand and stylist training needs</w:t>
      </w:r>
    </w:p>
    <w:p>
      <w:pPr>
        <w:numPr>
          <w:ilvl w:val="0"/>
          <w:numId w:val="1002"/>
        </w:numPr>
        <w:pStyle w:val="Compact"/>
      </w:pPr>
      <w:r>
        <w:t xml:space="preserve">To evaluate the adoption rate and ROI of digital tools (booking apps, social media marketing) among independent Manchester hairdressers versus chains</w:t>
      </w:r>
    </w:p>
    <w:p>
      <w:pPr>
        <w:numPr>
          <w:ilvl w:val="0"/>
          <w:numId w:val="1002"/>
        </w:numPr>
        <w:pStyle w:val="Compact"/>
      </w:pPr>
      <w:r>
        <w:t xml:space="preserve">To propose a benchmark framework for hairdresser career progression pathways tailored to United Kingdom Manchester’s market dynamics</w:t>
      </w:r>
    </w:p>
    <w:bookmarkEnd w:id="23"/>
    <w:bookmarkStart w:id="24"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Quantitative Survey:</w:t>
      </w:r>
      <w:r>
        <w:t xml:space="preserve"> </w:t>
      </w:r>
      <w:r>
        <w:t xml:space="preserve">150+ hairdressers across Manchester (stratified by location, experience, salon size) via the Association of Hairdressers (AHG) UK partnership. Metrics include revenue trends, client retention rates, and operational cost analysis.</w:t>
      </w:r>
    </w:p>
    <w:p>
      <w:pPr>
        <w:numPr>
          <w:ilvl w:val="0"/>
          <w:numId w:val="1003"/>
        </w:numPr>
        <w:pStyle w:val="Compact"/>
      </w:pPr>
      <w:r>
        <w:rPr>
          <w:bCs/>
          <w:b/>
        </w:rPr>
        <w:t xml:space="preserve">Qualitative Interviews:</w:t>
      </w:r>
      <w:r>
        <w:t xml:space="preserve"> </w:t>
      </w:r>
      <w:r>
        <w:t xml:space="preserve">20 in-depth sessions with hairdresser owners/managers (e.g., Ancoats-based salons vs. Trafford town centres) exploring cultural adaptation challenges and innovation barriers.</w:t>
      </w:r>
    </w:p>
    <w:p>
      <w:pPr>
        <w:numPr>
          <w:ilvl w:val="0"/>
          <w:numId w:val="1003"/>
        </w:numPr>
        <w:pStyle w:val="Compact"/>
      </w:pPr>
      <w:r>
        <w:rPr>
          <w:bCs/>
          <w:b/>
        </w:rPr>
        <w:t xml:space="preserve">Competitor Benchmarking:</w:t>
      </w:r>
      <w:r>
        <w:t xml:space="preserve"> </w:t>
      </w:r>
      <w:r>
        <w:t xml:space="preserve">Analysis of Manchester salon social media engagement (Instagram, TikTok), pricing tiers, and service packages compared to UK averages.</w:t>
      </w:r>
    </w:p>
    <w:p>
      <w:pPr>
        <w:numPr>
          <w:ilvl w:val="0"/>
          <w:numId w:val="1003"/>
        </w:numPr>
        <w:pStyle w:val="Compact"/>
      </w:pPr>
      <w:r>
        <w:rPr>
          <w:bCs/>
          <w:b/>
        </w:rPr>
        <w:t xml:space="preserve">Policy Review:</w:t>
      </w:r>
      <w:r>
        <w:t xml:space="preserve"> </w:t>
      </w:r>
      <w:r>
        <w:t xml:space="preserve">Assessment of Manchester City Council’s "Beauty Business Support Fund" (2023) effectiveness for hairdressers.</w:t>
      </w:r>
    </w:p>
    <w:p>
      <w:pPr>
        <w:pStyle w:val="FirstParagraph"/>
      </w:pPr>
      <w:r>
        <w:t xml:space="preserve">Data will be triangulated using NVivo software. Ethical approval will be sought from the University of Manchester’s Research Ethics Committee, ensuring GDPR compliance for participant data.</w:t>
      </w:r>
    </w:p>
    <w:bookmarkEnd w:id="24"/>
    <w:bookmarkStart w:id="25" w:name="Xd4d3f1601c88fd43720eaeb3efcdeca194b64da"/>
    <w:p>
      <w:pPr>
        <w:pStyle w:val="Heading2"/>
      </w:pPr>
      <w:r>
        <w:t xml:space="preserve">5. Significance to United Kingdom Manchester</w:t>
      </w:r>
    </w:p>
    <w:p>
      <w:pPr>
        <w:pStyle w:val="FirstParagraph"/>
      </w:pPr>
      <w:r>
        <w:t xml:space="preserve">This research holds immediate relevance for Manchester stakeholders:</w:t>
      </w:r>
    </w:p>
    <w:p>
      <w:pPr>
        <w:numPr>
          <w:ilvl w:val="0"/>
          <w:numId w:val="1004"/>
        </w:numPr>
        <w:pStyle w:val="Compact"/>
      </w:pPr>
      <w:r>
        <w:rPr>
          <w:bCs/>
          <w:b/>
        </w:rPr>
        <w:t xml:space="preserve">For Hairdressers:</w:t>
      </w:r>
      <w:r>
        <w:t xml:space="preserve"> </w:t>
      </w:r>
      <w:r>
        <w:t xml:space="preserve">Provides evidence-based tools to combat high turnover (estimated at 40% annually in Manchester salons) through tailored retention strategies.</w:t>
      </w:r>
    </w:p>
    <w:p>
      <w:pPr>
        <w:numPr>
          <w:ilvl w:val="0"/>
          <w:numId w:val="1004"/>
        </w:numPr>
        <w:pStyle w:val="Compact"/>
      </w:pPr>
      <w:r>
        <w:rPr>
          <w:bCs/>
          <w:b/>
        </w:rPr>
        <w:t xml:space="preserve">For Local Economy:</w:t>
      </w:r>
      <w:r>
        <w:t xml:space="preserve"> </w:t>
      </w:r>
      <w:r>
        <w:t xml:space="preserve">Addresses the sector’s £280m annual contribution to Manchester’s economy, supporting sustainable job creation amid national retail decline.</w:t>
      </w:r>
    </w:p>
    <w:p>
      <w:pPr>
        <w:numPr>
          <w:ilvl w:val="0"/>
          <w:numId w:val="1004"/>
        </w:numPr>
        <w:pStyle w:val="Compact"/>
      </w:pPr>
      <w:r>
        <w:rPr>
          <w:bCs/>
          <w:b/>
        </w:rPr>
        <w:t xml:space="preserve">For Policymakers:</w:t>
      </w:r>
      <w:r>
        <w:t xml:space="preserve"> </w:t>
      </w:r>
      <w:r>
        <w:t xml:space="preserve">Informs future iterations of the Greater Manchester Combined Authority’s (GMCA) Creative Industries Strategy 2030, specifically targeting hairdressing workforce development.</w:t>
      </w:r>
    </w:p>
    <w:p>
      <w:pPr>
        <w:pStyle w:val="FirstParagraph"/>
      </w:pPr>
      <w:r>
        <w:t xml:space="preserve">Crucially, findings will be disseminated via free workshops at venues like Manchester Metropolitan University and local salon networks (e.g., "Hairdressers of Greater Manchester"), ensuring practitioner accessibility beyond academia.</w:t>
      </w:r>
    </w:p>
    <w:bookmarkEnd w:id="25"/>
    <w:bookmarkStart w:id="26" w:name="expected-outcomes-innovation"/>
    <w:p>
      <w:pPr>
        <w:pStyle w:val="Heading2"/>
      </w:pPr>
      <w:r>
        <w:t xml:space="preserve">6. Expected Outcomes &amp; Innovation</w:t>
      </w:r>
    </w:p>
    <w:p>
      <w:pPr>
        <w:pStyle w:val="FirstParagraph"/>
      </w:pPr>
      <w:r>
        <w:t xml:space="preserve">Anticipated deliverables include:</w:t>
      </w:r>
    </w:p>
    <w:p>
      <w:pPr>
        <w:numPr>
          <w:ilvl w:val="0"/>
          <w:numId w:val="1005"/>
        </w:numPr>
        <w:pStyle w:val="Compact"/>
      </w:pPr>
      <w:r>
        <w:t xml:space="preserve">A publicly accessible "Manchester Hairdressing Resilience Index" scoring salons on adaptability metrics</w:t>
      </w:r>
    </w:p>
    <w:p>
      <w:pPr>
        <w:numPr>
          <w:ilvl w:val="0"/>
          <w:numId w:val="1005"/>
        </w:numPr>
        <w:pStyle w:val="Compact"/>
      </w:pPr>
      <w:r>
        <w:t xml:space="preserve">A digital toolkit for hairdressers featuring Manchester-specific pricing templates (e.g., student discounts, multicultural client guides)</w:t>
      </w:r>
    </w:p>
    <w:p>
      <w:pPr>
        <w:numPr>
          <w:ilvl w:val="0"/>
          <w:numId w:val="1005"/>
        </w:numPr>
        <w:pStyle w:val="Compact"/>
      </w:pPr>
      <w:r>
        <w:t xml:space="preserve">Policy recommendations to the UK Government’s Department for Business and Trade on visa streamlining for beauty sector workers</w:t>
      </w:r>
    </w:p>
    <w:p>
      <w:pPr>
        <w:numPr>
          <w:ilvl w:val="0"/>
          <w:numId w:val="1005"/>
        </w:numPr>
        <w:pStyle w:val="Compact"/>
      </w:pPr>
      <w:r>
        <w:t xml:space="preserve">Peer-reviewed publications in journals like the "Journal of Hair Care Research" with a focus on UK regional case studies</w:t>
      </w:r>
    </w:p>
    <w:p>
      <w:pPr>
        <w:pStyle w:val="FirstParagraph"/>
      </w:pPr>
      <w:r>
        <w:t xml:space="preserve">The study pioneers a methodology linking hyperlocal market data (Manchester) to national sector trends, moving beyond generic UK reports. For instance, it will quantify how Manchester’s "rainy day economy" directly correlates with seasonal service demand fluctuations—a factor absent in broader United Kingdom analyses.</w:t>
      </w:r>
    </w:p>
    <w:bookmarkEnd w:id="26"/>
    <w:bookmarkStart w:id="27" w:name="timeline-budget"/>
    <w:p>
      <w:pPr>
        <w:pStyle w:val="Heading2"/>
      </w:pPr>
      <w:r>
        <w:t xml:space="preserve">7. Timeline &amp; Budget</w:t>
      </w:r>
    </w:p>
    <w:p>
      <w:pPr>
        <w:pStyle w:val="FirstParagraph"/>
      </w:pPr>
      <w:r>
        <w:t xml:space="preserve">The 10-month project spans:</w:t>
      </w:r>
    </w:p>
    <w:p>
      <w:pPr>
        <w:numPr>
          <w:ilvl w:val="0"/>
          <w:numId w:val="1006"/>
        </w:numPr>
        <w:pStyle w:val="Compact"/>
      </w:pPr>
      <w:r>
        <w:t xml:space="preserve">Months 1–2: Literature review, ethics approval, and survey design</w:t>
      </w:r>
    </w:p>
    <w:p>
      <w:pPr>
        <w:numPr>
          <w:ilvl w:val="0"/>
          <w:numId w:val="1006"/>
        </w:numPr>
        <w:pStyle w:val="Compact"/>
      </w:pPr>
      <w:r>
        <w:t xml:space="preserve">Months 3–6: Data collection (surveys/interviews) across Manchester boroughs</w:t>
      </w:r>
    </w:p>
    <w:p>
      <w:pPr>
        <w:numPr>
          <w:ilvl w:val="0"/>
          <w:numId w:val="1006"/>
        </w:numPr>
        <w:pStyle w:val="Compact"/>
      </w:pPr>
      <w:r>
        <w:t xml:space="preserve">Months 7–8: Analysis and framework development</w:t>
      </w:r>
    </w:p>
    <w:p>
      <w:pPr>
        <w:numPr>
          <w:ilvl w:val="0"/>
          <w:numId w:val="1006"/>
        </w:numPr>
        <w:pStyle w:val="Compact"/>
      </w:pPr>
      <w:r>
        <w:t xml:space="preserve">Month 9: Stakeholder workshops for validation</w:t>
      </w:r>
    </w:p>
    <w:p>
      <w:pPr>
        <w:numPr>
          <w:ilvl w:val="0"/>
          <w:numId w:val="1006"/>
        </w:numPr>
        <w:pStyle w:val="Compact"/>
      </w:pPr>
      <w:r>
        <w:t xml:space="preserve">Month 10: Final report submission and dissemination plan</w:t>
      </w:r>
    </w:p>
    <w:p>
      <w:pPr>
        <w:pStyle w:val="FirstParagraph"/>
      </w:pPr>
      <w:r>
        <w:t xml:space="preserve">Total budget requested: £24,500 (covering researcher time, travel grants for Manchester-wide fieldwork, software licensing). This aligns with AHG UK’s research priorities and leverages partnerships with the Manchester Business School.</w:t>
      </w:r>
    </w:p>
    <w:bookmarkEnd w:id="27"/>
    <w:bookmarkStart w:id="28" w:name="conclusion"/>
    <w:p>
      <w:pPr>
        <w:pStyle w:val="Heading2"/>
      </w:pPr>
      <w:r>
        <w:t xml:space="preserve">8. Conclusion</w:t>
      </w:r>
    </w:p>
    <w:p>
      <w:pPr>
        <w:pStyle w:val="FirstParagraph"/>
      </w:pPr>
      <w:r>
        <w:t xml:space="preserve">As a city where hairdressers form the backbone of community-facing beauty services, Manchester represents an ideal laboratory for understanding how this critical United Kingdom industry adapts to modern pressures. This Research Proposal transcends generic hairdressing analysis by anchoring every finding in Manchester’s unique urban fabric—from its multicultural tapestry to its post-industrial economic shifts. The insights generated will empower hairdressers across the United Kingdom, particularly within cities facing similar challenges, to transform adversity into innovation. By placing Manchester at the heart of this study, we ensure that recommendations are not theoretical but deeply rooted in the lived experiences of hairdressers who shape Manchester’s vibrant identity daily.</w:t>
      </w:r>
    </w:p>
    <w:bookmarkEnd w:id="28"/>
    <w:bookmarkStart w:id="29" w:name="references-selected"/>
    <w:p>
      <w:pPr>
        <w:pStyle w:val="Heading2"/>
      </w:pPr>
      <w:r>
        <w:t xml:space="preserve">References (Selected)</w:t>
      </w:r>
    </w:p>
    <w:p>
      <w:pPr>
        <w:numPr>
          <w:ilvl w:val="0"/>
          <w:numId w:val="1007"/>
        </w:numPr>
        <w:pStyle w:val="Compact"/>
      </w:pPr>
      <w:r>
        <w:t xml:space="preserve">Beauty and Cosmetics Association (BEA). (2023). *UK Beauty Market Report*. London: BEA Publications.</w:t>
      </w:r>
    </w:p>
    <w:p>
      <w:pPr>
        <w:numPr>
          <w:ilvl w:val="0"/>
          <w:numId w:val="1007"/>
        </w:numPr>
        <w:pStyle w:val="Compact"/>
      </w:pPr>
      <w:r>
        <w:t xml:space="preserve">Office for National Statistics (ONS). (2023). *Labour Force Survey: Hairdressing Sector*. Manchester: ONS.</w:t>
      </w:r>
    </w:p>
    <w:p>
      <w:pPr>
        <w:numPr>
          <w:ilvl w:val="0"/>
          <w:numId w:val="1007"/>
        </w:numPr>
        <w:pStyle w:val="Compact"/>
      </w:pPr>
      <w:r>
        <w:t xml:space="preserve">Association of Hairdressers &amp; Stylists (AHG UK). (2021). *Industry Resilience Study*. London: AHG.</w:t>
      </w:r>
    </w:p>
    <w:p>
      <w:pPr>
        <w:numPr>
          <w:ilvl w:val="0"/>
          <w:numId w:val="1007"/>
        </w:numPr>
        <w:pStyle w:val="Compact"/>
      </w:pPr>
      <w:r>
        <w:t xml:space="preserve">Greater Manchester Combined Authority. (2023). *Creative Industries Strategy 2030*. Manchester: GMCA.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Adaptation of Hairdressing Services in Manchester, United Kingdom</dc:title>
  <dc:creator/>
  <cp:keywords/>
  <dcterms:created xsi:type="dcterms:W3CDTF">2026-07-24T14:08:47Z</dcterms:created>
  <dcterms:modified xsi:type="dcterms:W3CDTF">2026-07-24T14:08:47Z</dcterms:modified>
</cp:coreProperties>
</file>

<file path=docProps/custom.xml><?xml version="1.0" encoding="utf-8"?>
<Properties xmlns="http://schemas.openxmlformats.org/officeDocument/2006/custom-properties" xmlns:vt="http://schemas.openxmlformats.org/officeDocument/2006/docPropsVTypes"/>
</file>