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Colombia</w:t>
      </w:r>
      <w:r>
        <w:t xml:space="preserve"> </w:t>
      </w:r>
      <w:r>
        <w:t xml:space="preserve">Bogotá</w:t>
      </w:r>
    </w:p>
    <w:bookmarkStart w:id="28" w:name="X4cf998ecc5a4ad2d13ad30f1ba532968e3fa163"/>
    <w:p>
      <w:pPr>
        <w:pStyle w:val="Heading1"/>
      </w:pPr>
      <w:r>
        <w:t xml:space="preserve">Research Proposal: Strategic Evolution of the Human Resources Manager in Colombia Bogotá Amidst Dynamic Workforce and Regulatory Shifts</w:t>
      </w:r>
    </w:p>
    <w:bookmarkStart w:id="20" w:name="Xe19c599a920afa4ec4037baeacae74e95957032"/>
    <w:p>
      <w:pPr>
        <w:pStyle w:val="Heading2"/>
      </w:pPr>
      <w:r>
        <w:t xml:space="preserve">I. Introduction and Contextual Significance</w:t>
      </w:r>
    </w:p>
    <w:p>
      <w:pPr>
        <w:pStyle w:val="FirstParagraph"/>
      </w:pPr>
      <w:r>
        <w:t xml:space="preserve">The role of the Human Resources Manager in Colombia, particularly within the vibrant economic hub of Bogotá, has undergone profound transformation. As the nation's political, financial, and commercial epicenter—housing over 42% of Colombia's formal sector workforce—Bogotá presents a microcosm of national HR challenges intensified by rapid urbanization, digital disruption, and evolving labor regulations. This</w:t>
      </w:r>
      <w:r>
        <w:t xml:space="preserve"> </w:t>
      </w:r>
      <w:r>
        <w:rPr>
          <w:bCs/>
          <w:b/>
        </w:rPr>
        <w:t xml:space="preserve">Research Proposal</w:t>
      </w:r>
      <w:r>
        <w:t xml:space="preserve"> </w:t>
      </w:r>
      <w:r>
        <w:t xml:space="preserve">investigates the strategic adaptation required for the</w:t>
      </w:r>
      <w:r>
        <w:t xml:space="preserve"> </w:t>
      </w:r>
      <w:r>
        <w:rPr>
          <w:bCs/>
          <w:b/>
        </w:rPr>
        <w:t xml:space="preserve">Human Resources Manager</w:t>
      </w:r>
      <w:r>
        <w:t xml:space="preserve"> </w:t>
      </w:r>
      <w:r>
        <w:t xml:space="preserve">to navigate this complex environment. Colombia's 2019 Labor Code reform, coupled with Bogotá's status as a magnet for multinational corporations and innovative startups (e.g., within the Zona T innovation district), creates an urgent need to understand how HR leadership is redefining talent strategy, compliance, and employee experience. This study directly addresses the critical gap between national policy frameworks and localized</w:t>
      </w:r>
      <w:r>
        <w:t xml:space="preserve"> </w:t>
      </w:r>
      <w:r>
        <w:rPr>
          <w:bCs/>
          <w:b/>
        </w:rPr>
        <w:t xml:space="preserve">Human Resources Manager</w:t>
      </w:r>
      <w:r>
        <w:t xml:space="preserve"> </w:t>
      </w:r>
      <w:r>
        <w:t xml:space="preserve">execution in</w:t>
      </w:r>
      <w:r>
        <w:t xml:space="preserve"> </w:t>
      </w:r>
      <w:r>
        <w:rPr>
          <w:bCs/>
          <w:b/>
        </w:rPr>
        <w:t xml:space="preserve">Colombia Bogotá</w:t>
      </w:r>
      <w:r>
        <w:t xml:space="preserve">.</w:t>
      </w:r>
    </w:p>
    <w:bookmarkEnd w:id="20"/>
    <w:bookmarkStart w:id="21" w:name="ii.-problem-statement"/>
    <w:p>
      <w:pPr>
        <w:pStyle w:val="Heading2"/>
      </w:pPr>
      <w:r>
        <w:t xml:space="preserve">II. Problem Statement</w:t>
      </w:r>
    </w:p>
    <w:p>
      <w:pPr>
        <w:pStyle w:val="FirstParagraph"/>
      </w:pPr>
      <w:r>
        <w:t xml:space="preserve">Bogotá's HR landscape faces a confluence of pressures: escalating talent competition (with Bogotá accounting for 38% of Colombia's IT sector jobs but only 15% of the national population), stringent compliance demands under Colombia's Labor Code and Decree 1072/2015, and post-pandemic expectations for flexible work models. Current literature largely overlooks the *practical, day-to-day operational realities* of</w:t>
      </w:r>
      <w:r>
        <w:t xml:space="preserve"> </w:t>
      </w:r>
      <w:r>
        <w:rPr>
          <w:bCs/>
          <w:b/>
        </w:rPr>
        <w:t xml:space="preserve">Human Resources Manager</w:t>
      </w:r>
      <w:r>
        <w:t xml:space="preserve">s in Bogotá. Many struggle with balancing legal adherence to Colombia's rigid labor protections—such as mandatory 40-hour workweeks, severance calculations (art. 173–176), and recent remote work regulations (Ley 2029/2020)—with business demands for agility. Preliminary data from the Bogotá Chamber of Commerce indicates a 35% increase in HR turnover among mid-sized firms since 2021, directly linked to role misalignment. This study interrogates: *How do</w:t>
      </w:r>
      <w:r>
        <w:t xml:space="preserve"> </w:t>
      </w:r>
      <w:r>
        <w:rPr>
          <w:bCs/>
          <w:b/>
        </w:rPr>
        <w:t xml:space="preserve">Human Resources Manager</w:t>
      </w:r>
      <w:r>
        <w:t xml:space="preserve">s in Bogotá strategically reframe their roles to enhance organizational resilience and talent retention amid Colombia's unique regulatory and market dynamics?*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core responsibilities of the Human Resources Manager in Bogotá-based organizations (spanning finance, tech, manufacturing, and services) against Colombia's labor legal framework.</w:t>
      </w:r>
    </w:p>
    <w:p>
      <w:pPr>
        <w:numPr>
          <w:ilvl w:val="0"/>
          <w:numId w:val="1001"/>
        </w:numPr>
        <w:pStyle w:val="Compact"/>
      </w:pPr>
      <w:r>
        <w:t xml:space="preserve">To identify critical gaps between theoretical HR best practices and the operational constraints faced by Bogotá-based</w:t>
      </w:r>
      <w:r>
        <w:t xml:space="preserve"> </w:t>
      </w:r>
      <w:r>
        <w:rPr>
          <w:bCs/>
          <w:b/>
        </w:rPr>
        <w:t xml:space="preserve">Human Resources Manager</w:t>
      </w:r>
      <w:r>
        <w:t xml:space="preserve">s.</w:t>
      </w:r>
    </w:p>
    <w:p>
      <w:pPr>
        <w:numPr>
          <w:ilvl w:val="0"/>
          <w:numId w:val="1001"/>
        </w:numPr>
        <w:pStyle w:val="Compact"/>
      </w:pPr>
      <w:r>
        <w:t xml:space="preserve">To analyze the impact of digital transformation (e.g., AI-driven recruitment tools, remote work platforms) on the strategic value perception of HR leadership in Bogotá's business ecosystem.</w:t>
      </w:r>
    </w:p>
    <w:p>
      <w:pPr>
        <w:numPr>
          <w:ilvl w:val="0"/>
          <w:numId w:val="1001"/>
        </w:numPr>
        <w:pStyle w:val="Compact"/>
      </w:pPr>
      <w:r>
        <w:t xml:space="preserve">To develop a context-specific competency framework for the modern Human Resources Manager in Colombia Bogotá, integrating legal acumen, cultural intelligence (for diverse urban talent), and data-driven decision-making.</w:t>
      </w:r>
    </w:p>
    <w:bookmarkEnd w:id="22"/>
    <w:bookmarkStart w:id="23" w:name="iv.-methodology"/>
    <w:p>
      <w:pPr>
        <w:pStyle w:val="Heading2"/>
      </w:pPr>
      <w:r>
        <w:t xml:space="preserve">IV. Methodology</w:t>
      </w:r>
    </w:p>
    <w:p>
      <w:pPr>
        <w:pStyle w:val="FirstParagraph"/>
      </w:pPr>
      <w:r>
        <w:t xml:space="preserve">This mixed-methods study employs a sequential explanatory design tailored to the Colombian context:</w:t>
      </w:r>
    </w:p>
    <w:p>
      <w:pPr>
        <w:numPr>
          <w:ilvl w:val="0"/>
          <w:numId w:val="1002"/>
        </w:numPr>
        <w:pStyle w:val="Compact"/>
      </w:pPr>
      <w:r>
        <w:rPr>
          <w:bCs/>
          <w:b/>
        </w:rPr>
        <w:t xml:space="preserve">Phase 1: Quantitative Survey (n=150)</w:t>
      </w:r>
      <w:r>
        <w:t xml:space="preserve"> </w:t>
      </w:r>
      <w:r>
        <w:t xml:space="preserve">- Targeting certified HR Professionals holding Manager-level roles within Bogotá-based companies (verified via Colombia's National Registry of Companies). Instruments will measure: perceived strategic alignment, compliance burden, technology adoption levels, and key performance indicators (e.g., retention rates) influenced by HR leadership. Sampling ensures representation across company size (SMEs to multinationals), sector, and gender.</w:t>
      </w:r>
    </w:p>
    <w:p>
      <w:pPr>
        <w:numPr>
          <w:ilvl w:val="0"/>
          <w:numId w:val="1002"/>
        </w:numPr>
        <w:pStyle w:val="Compact"/>
      </w:pPr>
      <w:r>
        <w:rPr>
          <w:bCs/>
          <w:b/>
        </w:rPr>
        <w:t xml:space="preserve">Phase 2: Qualitative Case Studies (10 organizations)</w:t>
      </w:r>
      <w:r>
        <w:t xml:space="preserve"> </w:t>
      </w:r>
      <w:r>
        <w:t xml:space="preserve">- In-depth interviews with 8–10 Human Resources Managers in Bogotá, supplemented by focus groups. Cases will include a tech unicorn (e.g., Nubank Colombia), a manufacturing firm (e.g., Coldeportes), and a service-sector leader (e.g., Bancolombia) to capture sectoral nuances.</w:t>
      </w:r>
    </w:p>
    <w:p>
      <w:pPr>
        <w:numPr>
          <w:ilvl w:val="0"/>
          <w:numId w:val="1002"/>
        </w:numPr>
        <w:pStyle w:val="Compact"/>
      </w:pPr>
      <w:r>
        <w:rPr>
          <w:bCs/>
          <w:b/>
        </w:rPr>
        <w:t xml:space="preserve">Phase 3: Policy Analysis</w:t>
      </w:r>
      <w:r>
        <w:t xml:space="preserve"> </w:t>
      </w:r>
      <w:r>
        <w:t xml:space="preserve">- Systematic review of Colombia's Labor Code, recent court rulings impacting Bogotá HR practices (e.g., cases on remote work compensation), and national labor statistics from the Ministry of Labor.</w:t>
      </w:r>
    </w:p>
    <w:p>
      <w:pPr>
        <w:pStyle w:val="FirstParagraph"/>
      </w:pPr>
      <w:r>
        <w:t xml:space="preserve">Data analysis will use SPSS for quantitative data and NVivo for thematic coding of qualitative transcripts. All methods comply with Colombia's National Ethics Committee standards for social science research (Res. 8430/1993), with anonymized participant data secured per the Personal Data Protection Law (Ley 1266/2008).</w:t>
      </w:r>
    </w:p>
    <w:bookmarkEnd w:id="23"/>
    <w:bookmarkStart w:id="24" w:name="Xecbeb0e771858ca2471e62bc1b0737077e2fd6c"/>
    <w:p>
      <w:pPr>
        <w:pStyle w:val="Heading2"/>
      </w:pPr>
      <w:r>
        <w:t xml:space="preserve">V. Expected Contribution to Knowledge and Practice</w:t>
      </w:r>
    </w:p>
    <w:p>
      <w:pPr>
        <w:pStyle w:val="FirstParagraph"/>
      </w:pPr>
      <w:r>
        <w:t xml:space="preserve">This</w:t>
      </w:r>
      <w:r>
        <w:t xml:space="preserve"> </w:t>
      </w:r>
      <w:r>
        <w:rPr>
          <w:bCs/>
          <w:b/>
        </w:rPr>
        <w:t xml:space="preserve">Research Proposal</w:t>
      </w:r>
      <w:r>
        <w:t xml:space="preserve"> </w:t>
      </w:r>
      <w:r>
        <w:t xml:space="preserve">delivers actionable insights for three key stakeholders:</w:t>
      </w:r>
    </w:p>
    <w:p>
      <w:pPr>
        <w:numPr>
          <w:ilvl w:val="0"/>
          <w:numId w:val="1003"/>
        </w:numPr>
        <w:pStyle w:val="Compact"/>
      </w:pPr>
      <w:r>
        <w:rPr>
          <w:iCs/>
          <w:i/>
        </w:rPr>
        <w:t xml:space="preserve">Human Resources Managers in Colombia Bogotá:</w:t>
      </w:r>
      <w:r>
        <w:t xml:space="preserve"> </w:t>
      </w:r>
      <w:r>
        <w:t xml:space="preserve">A validated competency model will empower practitioners to advocate for strategic HR roles beyond administrative compliance, directly addressing their most cited pain point: "being viewed as a cost center, not a value driver."</w:t>
      </w:r>
    </w:p>
    <w:p>
      <w:pPr>
        <w:numPr>
          <w:ilvl w:val="0"/>
          <w:numId w:val="1003"/>
        </w:numPr>
        <w:pStyle w:val="Compact"/>
      </w:pPr>
      <w:r>
        <w:rPr>
          <w:iCs/>
          <w:i/>
        </w:rPr>
        <w:t xml:space="preserve">Policymakers (Ministry of Labor Colombia):</w:t>
      </w:r>
      <w:r>
        <w:t xml:space="preserve"> </w:t>
      </w:r>
      <w:r>
        <w:t xml:space="preserve">Findings on regulatory friction points—such as the mismatch between labor laws and digital work patterns in Bogotá—will inform future legal refinements.</w:t>
      </w:r>
    </w:p>
    <w:p>
      <w:pPr>
        <w:numPr>
          <w:ilvl w:val="0"/>
          <w:numId w:val="1003"/>
        </w:numPr>
        <w:pStyle w:val="Compact"/>
      </w:pPr>
      <w:r>
        <w:rPr>
          <w:iCs/>
          <w:i/>
        </w:rPr>
        <w:t xml:space="preserve">Organizations in Bogotá:</w:t>
      </w:r>
      <w:r>
        <w:t xml:space="preserve"> </w:t>
      </w:r>
      <w:r>
        <w:t xml:space="preserve">A practical guide for leadership to optimize HR investment, directly linked to reduced turnover costs (estimated at 1.5x annual salary per employee in Colombia) and enhanced employer branding within the competitive Bogotá market.</w:t>
      </w:r>
    </w:p>
    <w:bookmarkEnd w:id="24"/>
    <w:bookmarkStart w:id="25" w:name="vi.-significance-within-colombia-bogotá"/>
    <w:p>
      <w:pPr>
        <w:pStyle w:val="Heading2"/>
      </w:pPr>
      <w:r>
        <w:t xml:space="preserve">VI. Significance Within Colombia Bogotá</w:t>
      </w:r>
    </w:p>
    <w:p>
      <w:pPr>
        <w:pStyle w:val="FirstParagraph"/>
      </w:pPr>
      <w:r>
        <w:t xml:space="preserve">Bogotá's economic output ($48 billion annually, 30% of national GDP) makes it indispensable to Colombia's development trajectory. The success of its businesses hinges on effective talent management, where the Human Resources Manager is the pivotal interface between policy and practice. This research transcends academia: Bogotá-based HR associations like the Colombian HR Institute (ICHR) have reported a 65% increase in demand for strategic HR certification since 2022, signaling an industry-wide recognition of evolving role expectations. By grounding this study *exclusively* in Bogotá's socioeconomic fabric—considering factors like high urban density, public transport challenges affecting work-life balance, and the cultural emphasis on *personalismo* in Colombian workplaces—it provides unparalleled local relevance.</w:t>
      </w:r>
    </w:p>
    <w:bookmarkEnd w:id="25"/>
    <w:bookmarkStart w:id="26" w:name="vii.-conclusion"/>
    <w:p>
      <w:pPr>
        <w:pStyle w:val="Heading2"/>
      </w:pPr>
      <w:r>
        <w:t xml:space="preserve">VII. Conclusion</w:t>
      </w:r>
    </w:p>
    <w:p>
      <w:pPr>
        <w:pStyle w:val="FirstParagraph"/>
      </w:pPr>
      <w:r>
        <w:t xml:space="preserve">As Colombia navigates economic diversification and labor market modernization, the strategic role of the Human Resources Manager in Bogotá is no longer optional—it is fundamental to sustainable growth. This</w:t>
      </w:r>
      <w:r>
        <w:t xml:space="preserve"> </w:t>
      </w:r>
      <w:r>
        <w:rPr>
          <w:bCs/>
          <w:b/>
        </w:rPr>
        <w:t xml:space="preserve">Research Proposal</w:t>
      </w:r>
      <w:r>
        <w:t xml:space="preserve"> </w:t>
      </w:r>
      <w:r>
        <w:t xml:space="preserve">addresses an urgent void by centering the lived experience of HR leadership within</w:t>
      </w:r>
      <w:r>
        <w:t xml:space="preserve"> </w:t>
      </w:r>
      <w:r>
        <w:rPr>
          <w:bCs/>
          <w:b/>
        </w:rPr>
        <w:t xml:space="preserve">Colombia Bogotá</w:t>
      </w:r>
      <w:r>
        <w:t xml:space="preserve">. Through rigorous methodology rooted in Colombia's legal and cultural context, it promises not merely academic contribution, but a roadmap for</w:t>
      </w:r>
      <w:r>
        <w:t xml:space="preserve"> </w:t>
      </w:r>
      <w:r>
        <w:rPr>
          <w:bCs/>
          <w:b/>
        </w:rPr>
        <w:t xml:space="preserve">Human Resources Manager</w:t>
      </w:r>
      <w:r>
        <w:t xml:space="preserve">s to become architects of resilience in one of Latin America's most dynamic urban economies. The outcomes will directly support Bogotá’s ambition to lead Colombia’s transition toward a knowledge-based workforce, ensuring that the Human Resources Manager evolves from an operational executor to the organization's strategic catalyst within Colombia's capital city.</w:t>
      </w:r>
    </w:p>
    <w:bookmarkEnd w:id="26"/>
    <w:bookmarkStart w:id="27" w:name="viii.-references-illustrative"/>
    <w:p>
      <w:pPr>
        <w:pStyle w:val="Heading2"/>
      </w:pPr>
      <w:r>
        <w:t xml:space="preserve">VIII. References (Illustrative)</w:t>
      </w:r>
    </w:p>
    <w:p>
      <w:pPr>
        <w:numPr>
          <w:ilvl w:val="0"/>
          <w:numId w:val="1004"/>
        </w:numPr>
        <w:pStyle w:val="Compact"/>
      </w:pPr>
      <w:r>
        <w:t xml:space="preserve">Colombian Ministry of Labor. (2019). *Labor Code and Decree 1072*. Bogotá.</w:t>
      </w:r>
    </w:p>
    <w:p>
      <w:pPr>
        <w:numPr>
          <w:ilvl w:val="0"/>
          <w:numId w:val="1004"/>
        </w:numPr>
        <w:pStyle w:val="Compact"/>
      </w:pPr>
      <w:r>
        <w:t xml:space="preserve">Ministry of Commerce, Industry and Tourism (Mincit). (2023). *Bogotá Urban Economic Report*.</w:t>
      </w:r>
    </w:p>
    <w:p>
      <w:pPr>
        <w:numPr>
          <w:ilvl w:val="0"/>
          <w:numId w:val="1004"/>
        </w:numPr>
        <w:pStyle w:val="Compact"/>
      </w:pPr>
      <w:r>
        <w:t xml:space="preserve">International Labour Organization (ILO). (2021). *Adapting to Remote Work in Colombia: Implications for HR Management*.</w:t>
      </w:r>
    </w:p>
    <w:p>
      <w:pPr>
        <w:numPr>
          <w:ilvl w:val="0"/>
          <w:numId w:val="1004"/>
        </w:numPr>
        <w:pStyle w:val="Compact"/>
      </w:pPr>
      <w:r>
        <w:t xml:space="preserve">Chamber of Commerce of Bogotá. (2023). *Talent Retention Challenges Survey*.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Evolution of the Human Resources Manager in Colombia Bogotá</dc:title>
  <dc:creator/>
  <dc:language>en</dc:language>
  <cp:keywords/>
  <dcterms:created xsi:type="dcterms:W3CDTF">2025-12-10T02:18:49Z</dcterms:created>
  <dcterms:modified xsi:type="dcterms:W3CDTF">2025-12-10T02:18:49Z</dcterms:modified>
</cp:coreProperties>
</file>

<file path=docProps/custom.xml><?xml version="1.0" encoding="utf-8"?>
<Properties xmlns="http://schemas.openxmlformats.org/officeDocument/2006/custom-properties" xmlns:vt="http://schemas.openxmlformats.org/officeDocument/2006/docPropsVTypes"/>
</file>