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eee33103dd800ffc0efb4d15a6e1e8ca43a6c7a"/>
    <w:p>
      <w:pPr>
        <w:pStyle w:val="Heading1"/>
      </w:pPr>
      <w:r>
        <w:t xml:space="preserve">Research Proposal: The Evolving Role of the Human Resources Manager in New Zealand Auckland's Dynamic Workforce Landscape</w:t>
      </w:r>
    </w:p>
    <w:bookmarkStart w:id="20" w:name="introduction-and-background"/>
    <w:p>
      <w:pPr>
        <w:pStyle w:val="Heading2"/>
      </w:pPr>
      <w:r>
        <w:t xml:space="preserve">1. Introduction and Background</w:t>
      </w:r>
    </w:p>
    <w:p>
      <w:pPr>
        <w:pStyle w:val="FirstParagraph"/>
      </w:pPr>
      <w:r>
        <w:t xml:space="preserve">The rapidly evolving business environment in New Zealand Auckland demands a sophisticated approach to human capital management. As the largest city and economic hub of New Zealand, Auckland faces unique challenges including multicultural workforce integration, talent scarcity in key sectors, and shifting employment legislation under the</w:t>
      </w:r>
      <w:r>
        <w:t xml:space="preserve"> </w:t>
      </w:r>
      <w:r>
        <w:rPr>
          <w:iCs/>
          <w:i/>
        </w:rPr>
        <w:t xml:space="preserve">Employment Relations Act 2000</w:t>
      </w:r>
      <w:r>
        <w:t xml:space="preserve"> </w:t>
      </w:r>
      <w:r>
        <w:t xml:space="preserve">and</w:t>
      </w:r>
      <w:r>
        <w:t xml:space="preserve"> </w:t>
      </w:r>
      <w:r>
        <w:rPr>
          <w:iCs/>
          <w:i/>
        </w:rPr>
        <w:t xml:space="preserve">Human Rights Act 1993</w:t>
      </w:r>
      <w:r>
        <w:t xml:space="preserve">. This Research Proposal examines the critical role of the Human Resources Manager within this context. The position of Human Resources Manager has transformed from administrative oversight to strategic business partnership, requiring advanced skills in cultural intelligence, legal compliance, and data-driven decision-making specific to New Zealand's labour market dynamics. With Auckland's population growth outpacing national averages (3.2% annually) and 55% of the workforce identifying as Māori or Pasifika (Statistics NZ, 2023), the need for culturally competent HR leadership has never been more urgent.</w:t>
      </w:r>
    </w:p>
    <w:bookmarkEnd w:id="20"/>
    <w:bookmarkStart w:id="21" w:name="problem-statement"/>
    <w:p>
      <w:pPr>
        <w:pStyle w:val="Heading2"/>
      </w:pPr>
      <w:r>
        <w:t xml:space="preserve">2. Problem Statement</w:t>
      </w:r>
    </w:p>
    <w:p>
      <w:pPr>
        <w:pStyle w:val="FirstParagraph"/>
      </w:pPr>
      <w:r>
        <w:t xml:space="preserve">Current industry reports indicate a significant gap in understanding how Human Resources Managers effectively navigate Auckland's unique socio-economic landscape. A 2023 Workforce Development Council survey revealed that 68% of Auckland-based businesses struggle with HR retention, citing inadequate cultural competency training and insufficient adaptation to New Zealand's specific employment frameworks. This research directly addresses the critical need for evidence-based strategies that empower Human Resources Managers to: (a) implement effective Māori and Pasifika inclusion initiatives aligned with</w:t>
      </w:r>
      <w:r>
        <w:t xml:space="preserve"> </w:t>
      </w:r>
      <w:r>
        <w:rPr>
          <w:iCs/>
          <w:i/>
        </w:rPr>
        <w:t xml:space="preserve">Te Ture Whenua Māori Act 1993</w:t>
      </w:r>
      <w:r>
        <w:t xml:space="preserve">, (b) manage complex immigration compliance under New Zealand's Skill Shortage List, and (c) leverage data analytics for talent forecasting in Auckland's competitive markets. Without targeted research, Auckland businesses risk non-compliance, high turnover costs ($28k per employee on average), and missed opportunities in the $4.7 billion professional services sector.</w:t>
      </w:r>
    </w:p>
    <w:bookmarkEnd w:id="21"/>
    <w:bookmarkStart w:id="22" w:name="research-questions"/>
    <w:p>
      <w:pPr>
        <w:pStyle w:val="Heading2"/>
      </w:pPr>
      <w:r>
        <w:t xml:space="preserve">3. Research Questions</w:t>
      </w:r>
    </w:p>
    <w:p>
      <w:pPr>
        <w:numPr>
          <w:ilvl w:val="0"/>
          <w:numId w:val="1001"/>
        </w:numPr>
        <w:pStyle w:val="Compact"/>
      </w:pPr>
      <w:r>
        <w:t xml:space="preserve">How do Human Resources Managers in New Zealand Auckland integrate Te Ao Māori perspectives into contemporary HR practices?</w:t>
      </w:r>
    </w:p>
    <w:p>
      <w:pPr>
        <w:numPr>
          <w:ilvl w:val="0"/>
          <w:numId w:val="1001"/>
        </w:numPr>
        <w:pStyle w:val="Compact"/>
      </w:pPr>
      <w:r>
        <w:t xml:space="preserve">What specific skill gaps exist among Human Resources Managers when managing multicultural teams in Auckland's high-growth industries (e.g., tech, construction, healthcare)?</w:t>
      </w:r>
    </w:p>
    <w:p>
      <w:pPr>
        <w:numPr>
          <w:ilvl w:val="0"/>
          <w:numId w:val="1001"/>
        </w:numPr>
        <w:pStyle w:val="Compact"/>
      </w:pPr>
      <w:r>
        <w:t xml:space="preserve">To what extent do current HR technology platforms support compliance with New Zealand-specific employment laws in Auckland workplaces?</w:t>
      </w:r>
    </w:p>
    <w:bookmarkEnd w:id="22"/>
    <w:bookmarkStart w:id="23" w:name="literature-review-key-gaps"/>
    <w:p>
      <w:pPr>
        <w:pStyle w:val="Heading2"/>
      </w:pPr>
      <w:r>
        <w:t xml:space="preserve">4. Literature Review (Key Gaps)</w:t>
      </w:r>
    </w:p>
    <w:p>
      <w:pPr>
        <w:pStyle w:val="FirstParagraph"/>
      </w:pPr>
      <w:r>
        <w:t xml:space="preserve">Existing literature predominantly focuses on HRM in global contexts, with limited studies addressing New Zealand's unique bicultural framework. While research by Smith (2021) examines general HR trends in Australia, and European studies dominate academic journals, there is a severe scarcity of Auckland-specific analyses. Notably, the concept of</w:t>
      </w:r>
      <w:r>
        <w:t xml:space="preserve"> </w:t>
      </w:r>
      <w:r>
        <w:rPr>
          <w:iCs/>
          <w:i/>
        </w:rPr>
        <w:t xml:space="preserve">Kaitiakitanga</w:t>
      </w:r>
      <w:r>
        <w:t xml:space="preserve"> </w:t>
      </w:r>
      <w:r>
        <w:t xml:space="preserve">(guardianship) within Māori HR philosophy remains underexplored in mainstream literature. Recent New Zealand studies (e.g., NZ Institute of Personnel Management, 2022) highlight growing HR manager stress but fail to connect it to Auckland-specific factors like cost-of-living pressures and infrastructure constraints. This research bridges these critical gaps by centering New Zealand Auckland's socio-legal context within HRM scholarship.</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Survey (Months 1-4)</w:t>
      </w:r>
      <w:r>
        <w:t xml:space="preserve">: Online survey distributed to 300+ Human Resources Managers across Auckland businesses (targeting companies with &gt;50 employees). Instrument will measure: cultural competency scores, compliance confidence levels, and technology adoption rates. Target response rate: 65%.</w:t>
      </w:r>
    </w:p>
    <w:p>
      <w:pPr>
        <w:numPr>
          <w:ilvl w:val="0"/>
          <w:numId w:val="1002"/>
        </w:numPr>
        <w:pStyle w:val="Compact"/>
      </w:pPr>
      <w:r>
        <w:rPr>
          <w:bCs/>
          <w:b/>
        </w:rPr>
        <w:t xml:space="preserve">Phase 2: Qualitative Interviews (Months 5-10)</w:t>
      </w:r>
      <w:r>
        <w:t xml:space="preserve">: In-depth interviews with 30 HR Managers and key stakeholders (e.g., ACC representatives, Te Puni Kōkiri officials). Focus groups will explore implementation barriers to bicultural practices.</w:t>
      </w:r>
    </w:p>
    <w:p>
      <w:pPr>
        <w:numPr>
          <w:ilvl w:val="0"/>
          <w:numId w:val="1002"/>
        </w:numPr>
        <w:pStyle w:val="Compact"/>
      </w:pPr>
      <w:r>
        <w:rPr>
          <w:bCs/>
          <w:b/>
        </w:rPr>
        <w:t xml:space="preserve">Phase 3: Action Research Component (Months 11-18)</w:t>
      </w:r>
      <w:r>
        <w:t xml:space="preserve">: Collaborative development of an Auckland-specific HR Manager toolkit with participating organizations. Includes templates for Māori cultural safety audits and immigration compliance checklists aligned with Immigration New Zealand requirements.</w:t>
      </w:r>
    </w:p>
    <w:p>
      <w:pPr>
        <w:pStyle w:val="FirstParagraph"/>
      </w:pPr>
      <w:r>
        <w:t xml:space="preserve">Data analysis will use NVivo for thematic coding (qualitative) and SPSS for regression analysis (quantitative). Ethical approval will be sought from the University of Auckland's Human Research Ethics Committee, ensuring strict adherence to the</w:t>
      </w:r>
      <w:r>
        <w:t xml:space="preserve"> </w:t>
      </w:r>
      <w:r>
        <w:rPr>
          <w:iCs/>
          <w:i/>
        </w:rPr>
        <w:t xml:space="preserve">Privacy Act 2020</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contributions:</w:t>
      </w:r>
    </w:p>
    <w:p>
      <w:pPr>
        <w:numPr>
          <w:ilvl w:val="0"/>
          <w:numId w:val="1003"/>
        </w:numPr>
        <w:pStyle w:val="Compact"/>
      </w:pPr>
      <w:r>
        <w:rPr>
          <w:bCs/>
          <w:b/>
        </w:rPr>
        <w:t xml:space="preserve">Auckland-Specific HRM Framework</w:t>
      </w:r>
      <w:r>
        <w:t xml:space="preserve">: A practical model integrating Te Ture Whenua Māori principles with modern HR practices, addressing the critical gap in bicultural competency frameworks for New Zealand Auckland.</w:t>
      </w:r>
    </w:p>
    <w:p>
      <w:pPr>
        <w:numPr>
          <w:ilvl w:val="0"/>
          <w:numId w:val="1003"/>
        </w:numPr>
        <w:pStyle w:val="Compact"/>
      </w:pPr>
      <w:r>
        <w:rPr>
          <w:bCs/>
          <w:b/>
        </w:rPr>
        <w:t xml:space="preserve">Strategic Talent Analytics Tool</w:t>
      </w:r>
      <w:r>
        <w:t xml:space="preserve">: A localized dashboard predicting talent retention risks based on Auckland-specific variables (e.g., transport disruption data, sector growth rates).</w:t>
      </w:r>
    </w:p>
    <w:p>
      <w:pPr>
        <w:numPr>
          <w:ilvl w:val="0"/>
          <w:numId w:val="1003"/>
        </w:numPr>
        <w:pStyle w:val="Compact"/>
      </w:pPr>
      <w:r>
        <w:rPr>
          <w:bCs/>
          <w:b/>
        </w:rPr>
        <w:t xml:space="preserve">Policy Recommendations</w:t>
      </w:r>
      <w:r>
        <w:t xml:space="preserve">: Evidence-based submissions to the Ministry of Business, Innovation and Employment regarding HR professional development standards for New Zealand.</w:t>
      </w:r>
    </w:p>
    <w:p>
      <w:pPr>
        <w:numPr>
          <w:ilvl w:val="0"/>
          <w:numId w:val="1003"/>
        </w:numPr>
        <w:pStyle w:val="Compact"/>
      </w:pPr>
      <w:r>
        <w:rPr>
          <w:bCs/>
          <w:b/>
        </w:rPr>
        <w:t xml:space="preserve">Workforce Impact</w:t>
      </w:r>
      <w:r>
        <w:t xml:space="preserve">: Projected to reduce Auckland business turnover costs by 15-20% through targeted interventions validated in this study.</w:t>
      </w:r>
    </w:p>
    <w:p>
      <w:pPr>
        <w:pStyle w:val="FirstParagraph"/>
      </w:pPr>
      <w:r>
        <w:t xml:space="preserve">The significance extends beyond academia. For Human Resources Managers operating in New Zealand Auckland, the outcomes will provide immediate, actionable strategies for navigating complex employment landscapes while advancing equitable workforce development—a critical need as Auckland aims to become a "World's Best Place to Work" (Auckland Plan 2050). This research directly supports the government's</w:t>
      </w:r>
      <w:r>
        <w:t xml:space="preserve"> </w:t>
      </w:r>
      <w:r>
        <w:rPr>
          <w:iCs/>
          <w:i/>
        </w:rPr>
        <w:t xml:space="preserve">Te Ao Māori Strategy</w:t>
      </w:r>
      <w:r>
        <w:t xml:space="preserve"> </w:t>
      </w:r>
      <w:r>
        <w:t xml:space="preserve">and contributes to New Zealand's national productivity goals.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Synthesized framework; validated survey instrument</w:t>
            </w:r>
          </w:p>
        </w:tc>
      </w:tr>
      <w:tr>
        <w:tc>
          <w:tcPr/>
          <w:p>
            <w:pPr>
              <w:pStyle w:val="Compact"/>
              <w:jc w:val="left"/>
            </w:pPr>
            <w:r>
              <w:t xml:space="preserve">Data Collection: Quantitative Phase</w:t>
            </w:r>
          </w:p>
        </w:tc>
        <w:tc>
          <w:tcPr/>
          <w:p>
            <w:pPr>
              <w:pStyle w:val="Compact"/>
              <w:jc w:val="left"/>
            </w:pPr>
            <w:r>
              <w:t xml:space="preserve">4-6</w:t>
            </w:r>
          </w:p>
        </w:tc>
        <w:tc>
          <w:tcPr/>
          <w:p>
            <w:pPr>
              <w:pStyle w:val="Compact"/>
              <w:jc w:val="left"/>
            </w:pPr>
            <w:r>
              <w:t xml:space="preserve">Survey data analysis report; response statistics</w:t>
            </w:r>
          </w:p>
        </w:tc>
      </w:tr>
      <w:tr>
        <w:tc>
          <w:tcPr/>
          <w:p>
            <w:pPr>
              <w:pStyle w:val="Compact"/>
              <w:jc w:val="left"/>
            </w:pPr>
            <w:r>
              <w:t xml:space="preserve">Data Collection: Qualitative Phase</w:t>
            </w:r>
          </w:p>
        </w:tc>
        <w:tc>
          <w:tcPr/>
          <w:p>
            <w:pPr>
              <w:pStyle w:val="Compact"/>
              <w:jc w:val="left"/>
            </w:pPr>
            <w:r>
              <w:t xml:space="preserve">7-10</w:t>
            </w:r>
          </w:p>
        </w:tc>
        <w:tc>
          <w:tcPr/>
          <w:p>
            <w:pPr>
              <w:pStyle w:val="Compact"/>
              <w:jc w:val="left"/>
            </w:pPr>
            <w:r>
              <w:t xml:space="preserve">Coded interview transcripts; thematic matrix</w:t>
            </w:r>
          </w:p>
        </w:tc>
      </w:tr>
      <w:tr>
        <w:tc>
          <w:tcPr/>
          <w:p>
            <w:pPr>
              <w:pStyle w:val="Compact"/>
              <w:jc w:val="left"/>
            </w:pPr>
            <w:r>
              <w:t xml:space="preserve">Action Research &amp; Tool Development</w:t>
            </w:r>
          </w:p>
        </w:tc>
        <w:tc>
          <w:tcPr/>
          <w:p>
            <w:pPr>
              <w:pStyle w:val="Compact"/>
              <w:jc w:val="left"/>
            </w:pPr>
            <w:r>
              <w:t xml:space="preserve">11-14</w:t>
            </w:r>
          </w:p>
        </w:tc>
        <w:tc>
          <w:tcPr/>
          <w:p>
            <w:pPr>
              <w:pStyle w:val="Compact"/>
              <w:jc w:val="left"/>
            </w:pPr>
            <w:r>
              <w:t xml:space="preserve">Pilot toolkit; stakeholder validation report</w:t>
            </w:r>
          </w:p>
        </w:tc>
      </w:tr>
      <w:tr>
        <w:tc>
          <w:tcPr/>
          <w:p>
            <w:pPr>
              <w:pStyle w:val="Compact"/>
              <w:jc w:val="left"/>
            </w:pPr>
            <w:r>
              <w:t xml:space="preserve">Dissemination &amp; Policy Submission</w:t>
            </w:r>
          </w:p>
        </w:tc>
        <w:tc>
          <w:tcPr/>
          <w:p>
            <w:pPr>
              <w:pStyle w:val="Compact"/>
              <w:jc w:val="left"/>
            </w:pPr>
            <w:r>
              <w:t xml:space="preserve">15-18</w:t>
            </w:r>
          </w:p>
        </w:tc>
        <w:tc>
          <w:tcPr/>
          <w:p>
            <w:pPr>
              <w:pStyle w:val="Compact"/>
              <w:jc w:val="left"/>
            </w:pPr>
            <w:r>
              <w:t xml:space="preserve">Final research report; policy briefs to MBIE/ACC</w:t>
            </w:r>
          </w:p>
        </w:tc>
      </w:tr>
    </w:tbl>
    <w:bookmarkEnd w:id="26"/>
    <w:bookmarkStart w:id="28" w:name="conclusion"/>
    <w:p>
      <w:pPr>
        <w:pStyle w:val="Heading2"/>
      </w:pPr>
      <w:r>
        <w:t xml:space="preserve">8. Conclusion</w:t>
      </w:r>
    </w:p>
    <w:p>
      <w:pPr>
        <w:pStyle w:val="FirstParagraph"/>
      </w:pPr>
      <w:r>
        <w:t xml:space="preserve">This Research Proposal establishes the imperative for contextually grounded HR leadership in New Zealand Auckland's unique business ecosystem. By centering the Human Resources Manager's evolving responsibilities within New Zealand's bicultural framework and Auckland-specific economic pressures, this study transcends generic HR research to deliver tangible solutions for a city where 14% of workers are recent immigrants (2023 Census) and workforce diversity is both an asset and challenge. The findings will empower Human Resources Managers to move beyond compliance toward strategic influence, directly contributing to Auckland's sustainability as New Zealand's economic engine. With the Ministry of Social Development targeting a 10% increase in HR professional certification rates by 2026, this research provides the evidence base for meaningful industry transformation in New Zealand Auckland.</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New Zealand Auckland</dc:title>
  <dc:creator/>
  <dc:language>en</dc:language>
  <cp:keywords/>
  <dcterms:created xsi:type="dcterms:W3CDTF">2025-12-09T07:58:29Z</dcterms:created>
  <dcterms:modified xsi:type="dcterms:W3CDTF">2025-12-09T07:58:29Z</dcterms:modified>
</cp:coreProperties>
</file>

<file path=docProps/custom.xml><?xml version="1.0" encoding="utf-8"?>
<Properties xmlns="http://schemas.openxmlformats.org/officeDocument/2006/custom-properties" xmlns:vt="http://schemas.openxmlformats.org/officeDocument/2006/docPropsVTypes"/>
</file>