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124d6a66df147ff9b1d569c47814fe6e83108f1"/>
    <w:p>
      <w:pPr>
        <w:pStyle w:val="Heading1"/>
      </w:pPr>
      <w:r>
        <w:t xml:space="preserve">Research Proposal: Navigating Press Freedom and Professional Integrity Among Journalists in Ethiopia Addis Ababa</w:t>
      </w:r>
    </w:p>
    <w:bookmarkStart w:id="20" w:name="introduction"/>
    <w:p>
      <w:pPr>
        <w:pStyle w:val="Heading2"/>
      </w:pPr>
      <w:r>
        <w:t xml:space="preserve">1. Introduction</w:t>
      </w:r>
    </w:p>
    <w:p>
      <w:pPr>
        <w:pStyle w:val="FirstParagraph"/>
      </w:pPr>
      <w:r>
        <w:t xml:space="preserve">The media landscape in Ethiopia has undergone significant transformation since the political reforms of 2018, yet journalists operating within the capital city of Addis Ababa continue to navigate complex challenges that threaten press freedom and professional integrity. This Research Proposal examines the current state of journalism in Ethiopia Addis Ababa, focusing specifically on how</w:t>
      </w:r>
      <w:r>
        <w:t xml:space="preserve"> </w:t>
      </w:r>
      <w:r>
        <w:rPr>
          <w:bCs/>
          <w:b/>
        </w:rPr>
        <w:t xml:space="preserve">Journalist</w:t>
      </w:r>
      <w:r>
        <w:t xml:space="preserve">s confront legal constraints, security risks, economic pressures, and evolving digital landscapes. As Ethiopia's political transition continues to unfold amid regional conflicts and economic instability, understanding the lived experiences of media practitioners in Addis Ababa is critical for shaping sustainable solutions. The research addresses a pressing gap: while national media policies are debated in Addis Ababa, frontline journalists' perspectives remain underrepresented in policy discussions. This study directly responds to the urgent need for evidence-based interventions to safeguard democratic discourse within Ethiopia.</w:t>
      </w:r>
    </w:p>
    <w:bookmarkEnd w:id="20"/>
    <w:bookmarkStart w:id="21" w:name="problem-statement"/>
    <w:p>
      <w:pPr>
        <w:pStyle w:val="Heading2"/>
      </w:pPr>
      <w:r>
        <w:t xml:space="preserve">2. Problem Statement</w:t>
      </w:r>
    </w:p>
    <w:p>
      <w:pPr>
        <w:pStyle w:val="FirstParagraph"/>
      </w:pPr>
      <w:r>
        <w:t xml:space="preserve">Despite Ethiopia's constitutional guarantees of freedom of expression, journalists in Addis Ababa face escalating threats including arbitrary arrests, legal harassment under the Anti-Terrorism Proclamation (Article 13), and economic marginalization through advertising boycotts by state-linked entities. Recent data from the Committee to Protect Journalists (2023) indicates Ethiopia ranks 147th out of 180 countries in press freedom, with Addis Ababa—home to over 95% of Ethiopia’s national media outlets—emerging as the epicenter of these challenges. A pivotal gap exists between government policy frameworks and on-the-ground realities: while federal legislation promotes media pluralism, localized enforcement mechanisms in Addis Ababa often suppress critical reporting. This disconnect has eroded public trust in journalism and stifled investigative reporting on governance issues, corruption, and humanitarian crises. Without systematic documentation of these pressures within Ethiopia Addis Ababa, sustainable reforms remain elusive.</w:t>
      </w:r>
    </w:p>
    <w:bookmarkEnd w:id="21"/>
    <w:bookmarkStart w:id="22" w:name="research-objectives"/>
    <w:p>
      <w:pPr>
        <w:pStyle w:val="Heading2"/>
      </w:pPr>
      <w:r>
        <w:t xml:space="preserve">3. Research Objectives</w:t>
      </w:r>
    </w:p>
    <w:p>
      <w:pPr>
        <w:numPr>
          <w:ilvl w:val="0"/>
          <w:numId w:val="1001"/>
        </w:numPr>
        <w:pStyle w:val="Compact"/>
      </w:pPr>
      <w:r>
        <w:t xml:space="preserve">To map the legal and security challenges confronting journalists operating in Addis Ababa through qualitative analysis.</w:t>
      </w:r>
    </w:p>
    <w:p>
      <w:pPr>
        <w:numPr>
          <w:ilvl w:val="0"/>
          <w:numId w:val="1001"/>
        </w:numPr>
        <w:pStyle w:val="Compact"/>
      </w:pPr>
      <w:r>
        <w:t xml:space="preserve">To assess economic vulnerabilities affecting media sustainability in Ethiopia's capital city, including advertising dependencies and freelance income instability.</w:t>
      </w:r>
    </w:p>
    <w:p>
      <w:pPr>
        <w:numPr>
          <w:ilvl w:val="0"/>
          <w:numId w:val="1001"/>
        </w:numPr>
        <w:pStyle w:val="Compact"/>
      </w:pPr>
      <w:r>
        <w:t xml:space="preserve">To evaluate digital safety practices among journalist networks in Addis Ababa amid increasing cyber surveillance.</w:t>
      </w:r>
    </w:p>
    <w:p>
      <w:pPr>
        <w:numPr>
          <w:ilvl w:val="0"/>
          <w:numId w:val="1001"/>
        </w:numPr>
        <w:pStyle w:val="Compact"/>
      </w:pPr>
      <w:r>
        <w:t xml:space="preserve">To develop context-specific recommendations for policymakers, media organizations, and international partners to strengthen press freedom infrastructure within Ethiopia Addis Ababa.</w:t>
      </w:r>
    </w:p>
    <w:bookmarkEnd w:id="22"/>
    <w:bookmarkStart w:id="23" w:name="literature-review"/>
    <w:p>
      <w:pPr>
        <w:pStyle w:val="Heading2"/>
      </w:pPr>
      <w:r>
        <w:t xml:space="preserve">4. Literature Review</w:t>
      </w:r>
    </w:p>
    <w:p>
      <w:pPr>
        <w:pStyle w:val="FirstParagraph"/>
      </w:pPr>
      <w:r>
        <w:t xml:space="preserve">Existing scholarship on Ethiopian media (e.g., O'Connell 2021; Nigussie 2019) highlights the historical suppression of independent journalism but largely overlooks contemporary dynamics in Addis Ababa. Studies by the Media Institute of Southern Africa (MISA, 2022) document legal threats but fail to capture journalists' daily survival strategies. Meanwhile, digital safety research (e.g., Access Now 2023) focuses on global frameworks rather than Ethiopia-specific challenges like state-sponsored internet shutdowns during protests in Addis Ababa. Crucially, no comprehensive study has centered journalist experiences within Ethiopia Addis Ababa as the primary case study, despite the city’s role as the nation’s media hub. This research bridges that gap by prioritizing local narratives.</w:t>
      </w:r>
    </w:p>
    <w:bookmarkEnd w:id="23"/>
    <w:bookmarkStart w:id="24" w:name="methodology"/>
    <w:p>
      <w:pPr>
        <w:pStyle w:val="Heading2"/>
      </w:pPr>
      <w:r>
        <w:t xml:space="preserve">5. Methodology</w:t>
      </w:r>
    </w:p>
    <w:p>
      <w:pPr>
        <w:pStyle w:val="FirstParagraph"/>
      </w:pPr>
      <w:r>
        <w:t xml:space="preserve">This mixed-methods study will employ a 12-month fieldwork approach in Addis Ababa, combining:</w:t>
      </w:r>
    </w:p>
    <w:p>
      <w:pPr>
        <w:numPr>
          <w:ilvl w:val="0"/>
          <w:numId w:val="1002"/>
        </w:numPr>
        <w:pStyle w:val="Compact"/>
      </w:pPr>
      <w:r>
        <w:rPr>
          <w:bCs/>
          <w:b/>
        </w:rPr>
        <w:t xml:space="preserve">Structured Interviews:</w:t>
      </w:r>
      <w:r>
        <w:t xml:space="preserve"> </w:t>
      </w:r>
      <w:r>
        <w:t xml:space="preserve">40 semi-structured interviews with journalists (including freelancers, editors, and radio/TV reporters) from diverse outlets (state-owned and independent) across Addis Ababa.</w:t>
      </w:r>
    </w:p>
    <w:p>
      <w:pPr>
        <w:numPr>
          <w:ilvl w:val="0"/>
          <w:numId w:val="1002"/>
        </w:numPr>
        <w:pStyle w:val="Compact"/>
      </w:pPr>
      <w:r>
        <w:rPr>
          <w:bCs/>
          <w:b/>
        </w:rPr>
        <w:t xml:space="preserve">Focus Groups:</w:t>
      </w:r>
      <w:r>
        <w:t xml:space="preserve"> </w:t>
      </w:r>
      <w:r>
        <w:t xml:space="preserve">5 sessions with journalist associations (e.g., Ethiopian Journalists’ Association) to analyze collective strategies for navigating censorship.</w:t>
      </w:r>
    </w:p>
    <w:p>
      <w:pPr>
        <w:numPr>
          <w:ilvl w:val="0"/>
          <w:numId w:val="1002"/>
        </w:numPr>
        <w:pStyle w:val="Compact"/>
      </w:pPr>
      <w:r>
        <w:rPr>
          <w:bCs/>
          <w:b/>
        </w:rPr>
        <w:t xml:space="preserve">Document Analysis:</w:t>
      </w:r>
      <w:r>
        <w:t xml:space="preserve"> </w:t>
      </w:r>
      <w:r>
        <w:t xml:space="preserve">Review of legal cases against journalists in Addis Ababa courts (2020–2024), media policies, and digital security protocols.</w:t>
      </w:r>
    </w:p>
    <w:p>
      <w:pPr>
        <w:numPr>
          <w:ilvl w:val="0"/>
          <w:numId w:val="1002"/>
        </w:numPr>
        <w:pStyle w:val="Compact"/>
      </w:pPr>
      <w:r>
        <w:rPr>
          <w:bCs/>
          <w:b/>
        </w:rPr>
        <w:t xml:space="preserve">Participatory Workshops:</w:t>
      </w:r>
      <w:r>
        <w:t xml:space="preserve"> </w:t>
      </w:r>
      <w:r>
        <w:t xml:space="preserve">Collaborative sessions with media NGOs (e.g., Media Rights Monitor) to co-design safety toolkits for journalist networks in Ethiopia Addis Ababa.</w:t>
      </w:r>
    </w:p>
    <w:p>
      <w:pPr>
        <w:pStyle w:val="FirstParagraph"/>
      </w:pPr>
      <w:r>
        <w:t xml:space="preserve">Sampling will prioritize gender diversity (60% women, 40% men), geographic representation within Addis Ababa (city center, peri-urban areas), and media outlet types. Ethical protocols will include informed consent and trauma-informed interviewing given security risks. Data analysis will use NVivo software for thematic coding aligned with the research objectives.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dataset detailing 10+ legal cases affecting journalists in Addis Ababa, revealing patterns of state targeting. Second, a practical "Digital Safety Manual for Journalists" tailored to Ethiopia’s technological infrastructure (e.g., WhatsApp surveillance tactics common in Addis Ababa). Third, policy briefs for the Ethiopian Media Authority proposing reforms like independent judicial oversight of press-related cases—directly addressing gaps identified in national media laws.</w:t>
      </w:r>
    </w:p>
    <w:p>
      <w:pPr>
        <w:pStyle w:val="BodyText"/>
      </w:pPr>
      <w:r>
        <w:t xml:space="preserve">The significance extends beyond academia: findings will directly inform interventions by international partners (e.g., UNDP Ethiopia, EU Delegation) and local NGOs. By centering the voices of journalists in Ethiopia Addis Ababa, this work challenges the narrative that media freedom is merely a "national issue" while ignoring urban centers where information flows most intensely. Crucially, it positions Addis Ababa not as a passive recipient of policy but as an active site of innovation—where journalist collectives are already developing grassroots safety networks.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Cross-referenced policy analysis; ethics approvals from Addis Ababa University</w:t>
            </w:r>
          </w:p>
        </w:tc>
      </w:tr>
      <w:tr>
        <w:tc>
          <w:tcPr/>
          <w:p>
            <w:pPr>
              <w:pStyle w:val="Compact"/>
              <w:jc w:val="left"/>
            </w:pPr>
            <w:r>
              <w:t xml:space="preserve">Fieldwork: Data Collection in Ethiopia Addis Ababa</w:t>
            </w:r>
          </w:p>
        </w:tc>
        <w:tc>
          <w:tcPr/>
          <w:p>
            <w:pPr>
              <w:pStyle w:val="Compact"/>
              <w:jc w:val="left"/>
            </w:pPr>
            <w:r>
              <w:t xml:space="preserve">Month 3–8</w:t>
            </w:r>
          </w:p>
        </w:tc>
        <w:tc>
          <w:tcPr/>
          <w:p>
            <w:pPr>
              <w:pStyle w:val="Compact"/>
              <w:jc w:val="left"/>
            </w:pPr>
            <w:r>
              <w:t xml:space="preserve">Interview transcripts; focus group reports; legal case database</w:t>
            </w:r>
          </w:p>
        </w:tc>
      </w:tr>
      <w:tr>
        <w:tc>
          <w:tcPr/>
          <w:p>
            <w:pPr>
              <w:pStyle w:val="Compact"/>
              <w:jc w:val="left"/>
            </w:pPr>
            <w:r>
              <w:t xml:space="preserve">Data Analysis &amp; Draft Report</w:t>
            </w:r>
          </w:p>
        </w:tc>
        <w:tc>
          <w:tcPr/>
          <w:p>
            <w:pPr>
              <w:pStyle w:val="Compact"/>
              <w:jc w:val="left"/>
            </w:pPr>
            <w:r>
              <w:t xml:space="preserve">Month 9–10</w:t>
            </w:r>
          </w:p>
        </w:tc>
        <w:tc>
          <w:tcPr/>
          <w:p>
            <w:pPr>
              <w:pStyle w:val="Compact"/>
              <w:jc w:val="left"/>
            </w:pPr>
            <w:r>
              <w:t xml:space="preserve">Thematic framework report; safety manual draft</w:t>
            </w:r>
          </w:p>
        </w:tc>
      </w:tr>
      <w:tr>
        <w:tc>
          <w:tcPr/>
          <w:p>
            <w:pPr>
              <w:pStyle w:val="Compact"/>
              <w:jc w:val="left"/>
            </w:pPr>
            <w:r>
              <w:t xml:space="preserve">Stakeholder Validation Workshops (Addis Ababa)</w:t>
            </w:r>
          </w:p>
        </w:tc>
        <w:tc>
          <w:tcPr/>
          <w:p>
            <w:pPr>
              <w:pStyle w:val="Compact"/>
              <w:jc w:val="left"/>
            </w:pPr>
            <w:r>
              <w:t xml:space="preserve">Month 11</w:t>
            </w:r>
          </w:p>
        </w:tc>
        <w:tc>
          <w:tcPr/>
          <w:p>
            <w:pPr>
              <w:pStyle w:val="Compact"/>
              <w:jc w:val="left"/>
            </w:pPr>
            <w:r>
              <w:t xml:space="preserve">Policymaker feedback; revised policy briefs</w:t>
            </w:r>
          </w:p>
        </w:tc>
      </w:tr>
      <w:tr>
        <w:tc>
          <w:tcPr/>
          <w:p>
            <w:pPr>
              <w:pStyle w:val="Compact"/>
              <w:jc w:val="left"/>
            </w:pPr>
            <w:r>
              <w:t xml:space="preserve">Final Dissemination &amp; Policy Engagement</w:t>
            </w:r>
          </w:p>
        </w:tc>
        <w:tc>
          <w:tcPr/>
          <w:p>
            <w:pPr>
              <w:pStyle w:val="Compact"/>
              <w:jc w:val="left"/>
            </w:pPr>
            <w:r>
              <w:t xml:space="preserve">Month 12</w:t>
            </w:r>
          </w:p>
        </w:tc>
        <w:tc>
          <w:tcPr/>
          <w:p>
            <w:pPr>
              <w:pStyle w:val="Compact"/>
              <w:jc w:val="left"/>
            </w:pPr>
            <w:r>
              <w:t xml:space="preserve">Public report launch in Addis Ababa; ministerial presentation</w:t>
            </w:r>
          </w:p>
        </w:tc>
      </w:tr>
    </w:tbl>
    <w:bookmarkEnd w:id="26"/>
    <w:bookmarkStart w:id="27" w:name="conclusion"/>
    <w:p>
      <w:pPr>
        <w:pStyle w:val="Heading2"/>
      </w:pPr>
      <w:r>
        <w:t xml:space="preserve">8. Conclusion</w:t>
      </w:r>
    </w:p>
    <w:p>
      <w:pPr>
        <w:pStyle w:val="FirstParagraph"/>
      </w:pPr>
      <w:r>
        <w:t xml:space="preserve">This Research Proposal constitutes a timely and necessary investigation into the resilience of journalism within Ethiopia Addis Ababa—a city where media freedoms are both most contested and most vital to democratic development. By centering the experiences of journalists as primary informants, not just subjects, the study moves beyond symptom management to address systemic vulnerabilities in Ethiopia’s media ecosystem. As a critical hub for national discourse, Addis Ababa’s journalistic community embodies Ethiopia’s broader struggle for transparency: their safety is inseparable from the nation’s democratic future. This research will generate actionable insights that empower journalists while holding power accountable—proving that sustainable press freedom must be built from the ground up, in Ethiopia Addis Ababa.</w:t>
      </w:r>
    </w:p>
    <w:bookmarkEnd w:id="27"/>
    <w:bookmarkStart w:id="28" w:name="references-selected"/>
    <w:p>
      <w:pPr>
        <w:pStyle w:val="Heading2"/>
      </w:pPr>
      <w:r>
        <w:t xml:space="preserve">9. References (Selected)</w:t>
      </w:r>
    </w:p>
    <w:p>
      <w:pPr>
        <w:numPr>
          <w:ilvl w:val="0"/>
          <w:numId w:val="1003"/>
        </w:numPr>
        <w:pStyle w:val="Compact"/>
      </w:pPr>
      <w:r>
        <w:t xml:space="preserve">Committee to Protect Journalists (CPJ). (2023). *Ethiopia: Press Freedom Ranking*. New York: CPJ.</w:t>
      </w:r>
    </w:p>
    <w:p>
      <w:pPr>
        <w:numPr>
          <w:ilvl w:val="0"/>
          <w:numId w:val="1003"/>
        </w:numPr>
        <w:pStyle w:val="Compact"/>
      </w:pPr>
      <w:r>
        <w:t xml:space="preserve">Nigussie, B. H. (2019). "Media and Politics in Ethiopia." *African Journalism Studies*, 40(3), 68–85.</w:t>
      </w:r>
    </w:p>
    <w:p>
      <w:pPr>
        <w:numPr>
          <w:ilvl w:val="0"/>
          <w:numId w:val="1003"/>
        </w:numPr>
        <w:pStyle w:val="Compact"/>
      </w:pPr>
      <w:r>
        <w:t xml:space="preserve">O'Connell, S. (2021). "State Control of Media in Post-Transition Ethiopia." *Journal of Eastern African Studies*, 15(4), 729–748.</w:t>
      </w:r>
    </w:p>
    <w:p>
      <w:pPr>
        <w:numPr>
          <w:ilvl w:val="0"/>
          <w:numId w:val="1003"/>
        </w:numPr>
        <w:pStyle w:val="Compact"/>
      </w:pPr>
      <w:r>
        <w:t xml:space="preserve">Media Institute of Southern Africa (MISA). (2022). *Ethiopia Media Landscape Report*. Harare: MISA.</w:t>
      </w:r>
    </w:p>
    <w:p>
      <w:pPr>
        <w:pStyle w:val="FirstParagraph"/>
      </w:pPr>
      <w:r>
        <w:rPr>
          <w:bCs/>
          <w:b/>
        </w:rPr>
        <w:t xml:space="preserve">Note on Terminology:</w:t>
      </w:r>
      <w:r>
        <w:t xml:space="preserve"> </w:t>
      </w:r>
      <w:r>
        <w:t xml:space="preserve">This Research Proposal consistently uses "Ethiopia Addis Ababa" to denote the national context with explicit focus on the capital city, recognizing Addis Ababa’s central role in Ethiopia’s media and political infrastructure. The term "Journalist" is used throughout to emphasize the human element of this research, avoiding dehumanizing labels like "media workers."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Professional Challenges of Journalist in Ethiopia Addis Ababa</dc:title>
  <dc:creator/>
  <dc:language>en</dc:language>
  <cp:keywords/>
  <dcterms:created xsi:type="dcterms:W3CDTF">2026-07-20T22:44:44Z</dcterms:created>
  <dcterms:modified xsi:type="dcterms:W3CDTF">2026-07-20T22:44:44Z</dcterms:modified>
</cp:coreProperties>
</file>

<file path=docProps/custom.xml><?xml version="1.0" encoding="utf-8"?>
<Properties xmlns="http://schemas.openxmlformats.org/officeDocument/2006/custom-properties" xmlns:vt="http://schemas.openxmlformats.org/officeDocument/2006/docPropsVTypes"/>
</file>