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Australia</w:t>
      </w:r>
      <w:r>
        <w:t xml:space="preserve"> </w:t>
      </w:r>
      <w:r>
        <w:t xml:space="preserve">Brisbane</w:t>
      </w:r>
    </w:p>
    <w:bookmarkStart w:id="28" w:name="Xa1dc05ec6dac66712d107748e725cf87957a0a7"/>
    <w:p>
      <w:pPr>
        <w:pStyle w:val="Heading1"/>
      </w:pPr>
      <w:r>
        <w:t xml:space="preserve">Research Proposal: Enhancing Judicial Effectiveness and Community Trust in Australia Brisbane</w:t>
      </w:r>
    </w:p>
    <w:bookmarkStart w:id="20" w:name="introduction"/>
    <w:p>
      <w:pPr>
        <w:pStyle w:val="Heading2"/>
      </w:pPr>
      <w:r>
        <w:t xml:space="preserve">1. Introduction</w:t>
      </w:r>
    </w:p>
    <w:p>
      <w:pPr>
        <w:pStyle w:val="FirstParagraph"/>
      </w:pPr>
      <w:r>
        <w:t xml:space="preserve">The administration of justice in Australia is fundamentally anchored by the judiciary, with judges serving as impartial arbiters who uphold the rule of law across all jurisdictions. In Brisbane—the capital city of Queensland and a major metropolitan center in Australia—judges confront unique challenges stemming from rapid urbanization, diverse demographics, and evolving societal expectations. This Research Proposal outlines a critical investigation into judicial practices within the Brisbane legal landscape, addressing gaps in understanding how judges navigate contemporary complexities while maintaining public confidence. As Australia's third-largest city with over 2.5 million residents and a culturally rich mosaic of Indigenous communities, migrants, and long-term citizens, Brisbane presents an essential case study for evaluating the role of the judge in modern governance.</w:t>
      </w:r>
    </w:p>
    <w:bookmarkEnd w:id="20"/>
    <w:bookmarkStart w:id="21" w:name="problem-statement"/>
    <w:p>
      <w:pPr>
        <w:pStyle w:val="Heading2"/>
      </w:pPr>
      <w:r>
        <w:t xml:space="preserve">2. Problem Statement</w:t>
      </w:r>
    </w:p>
    <w:p>
      <w:pPr>
        <w:pStyle w:val="FirstParagraph"/>
      </w:pPr>
      <w:r>
        <w:t xml:space="preserve">Despite Australia's reputation for robust judicial independence, Brisbane faces distinct pressures on its judiciary. Recent reports indicate a 17% increase in court backlogs since 2020, disproportionately affecting family law and criminal courts (Queensland Courts Annual Report, 2023). Simultaneously, community surveys reveal declining trust among Brisbane residents—particularly from culturally and linguistically diverse (CALD) backgrounds—in judicial processes. This research addresses a critical gap: while national studies on judges exist, none comprehensively analyze Brisbane's contextual challenges. Without targeted inquiry into how judges operate within this specific Australian urban ecosystem, systemic inefficiencies and trust deficits may persist, undermining justice delivery in a city pivotal to Australia's economic and social fabric.</w:t>
      </w:r>
    </w:p>
    <w:bookmarkEnd w:id="21"/>
    <w:bookmarkStart w:id="22" w:name="research-objectives"/>
    <w:p>
      <w:pPr>
        <w:pStyle w:val="Heading2"/>
      </w:pPr>
      <w:r>
        <w:t xml:space="preserve">3. Research Objectives</w:t>
      </w:r>
    </w:p>
    <w:p>
      <w:pPr>
        <w:numPr>
          <w:ilvl w:val="0"/>
          <w:numId w:val="1001"/>
        </w:numPr>
        <w:pStyle w:val="Compact"/>
      </w:pPr>
      <w:r>
        <w:t xml:space="preserve">To analyze the demographic diversity of judges across Brisbane’s District Court, Supreme Court, and Magistrates’ Court.</w:t>
      </w:r>
    </w:p>
    <w:p>
      <w:pPr>
        <w:numPr>
          <w:ilvl w:val="0"/>
          <w:numId w:val="1001"/>
        </w:numPr>
        <w:pStyle w:val="Compact"/>
      </w:pPr>
      <w:r>
        <w:t xml:space="preserve">To evaluate judicial approaches in handling complex cases involving Indigenous communities and CALD populations within Australia Brisbane.</w:t>
      </w:r>
    </w:p>
    <w:p>
      <w:pPr>
        <w:numPr>
          <w:ilvl w:val="0"/>
          <w:numId w:val="1001"/>
        </w:numPr>
        <w:pStyle w:val="Compact"/>
      </w:pPr>
      <w:r>
        <w:t xml:space="preserve">To develop evidence-based recommendations for enhancing public trust through judicial transparency, specifically tailored to Brisbane’s community needs.</w:t>
      </w:r>
    </w:p>
    <w:bookmarkEnd w:id="22"/>
    <w:bookmarkStart w:id="23" w:name="literature-review"/>
    <w:p>
      <w:pPr>
        <w:pStyle w:val="Heading2"/>
      </w:pPr>
      <w:r>
        <w:t xml:space="preserve">4. Literature Review</w:t>
      </w:r>
    </w:p>
    <w:p>
      <w:pPr>
        <w:pStyle w:val="FirstParagraph"/>
      </w:pPr>
      <w:r>
        <w:t xml:space="preserve">Existing scholarship on judges in Australia predominantly focuses on national policy frameworks (e.g., Australian Institute of Judicial Administration, 2021), often overlooking localized dynamics. Studies by Kellam (2019) highlight judicial diversity gaps nationally, noting only 35% of Queensland judges identify as women—well below Brisbane’s population gender parity. Meanwhile, research by the University of Queensland (2022) identifies a "trust deficit" among Indigenous Brisbane residents regarding court outcomes. Crucially, no prior work examines how Brisbane-specific factors—such as its role as a gateway for Pacific Islander migrants or its high volume of family violence cases—interact with judicial decision-making. This proposal directly responds to this oversight by centering the judge’s role within Brisbane’s unique socio-legal environment.</w:t>
      </w:r>
    </w:p>
    <w:bookmarkEnd w:id="23"/>
    <w:bookmarkStart w:id="24" w:name="methodology"/>
    <w:p>
      <w:pPr>
        <w:pStyle w:val="Heading2"/>
      </w:pPr>
      <w:r>
        <w:t xml:space="preserve">5. Methodology</w:t>
      </w:r>
    </w:p>
    <w:p>
      <w:pPr>
        <w:pStyle w:val="FirstParagraph"/>
      </w:pPr>
      <w:r>
        <w:t xml:space="preserve">This mixed-methods study employs a three-phase approach, rigorously designed for Australia Brisbane context:</w:t>
      </w:r>
    </w:p>
    <w:p>
      <w:pPr>
        <w:numPr>
          <w:ilvl w:val="0"/>
          <w:numId w:val="1002"/>
        </w:numPr>
        <w:pStyle w:val="Compact"/>
      </w:pPr>
      <w:r>
        <w:rPr>
          <w:bCs/>
          <w:b/>
        </w:rPr>
        <w:t xml:space="preserve">Phase 1: Quantitative Analysis</w:t>
      </w:r>
      <w:r>
        <w:t xml:space="preserve"> </w:t>
      </w:r>
      <w:r>
        <w:t xml:space="preserve">– Utilizing Queensland Courts’ public datasets (2019–2024) to map judicial caseloads, case resolution times, and demographic data across Brisbane courts. Statistical tools will identify correlations between judge characteristics and case outcomes.</w:t>
      </w:r>
    </w:p>
    <w:p>
      <w:pPr>
        <w:numPr>
          <w:ilvl w:val="0"/>
          <w:numId w:val="1002"/>
        </w:numPr>
        <w:pStyle w:val="Compact"/>
      </w:pPr>
      <w:r>
        <w:rPr>
          <w:bCs/>
          <w:b/>
        </w:rPr>
        <w:t xml:space="preserve">Phase 2: Qualitative Inquiry</w:t>
      </w:r>
      <w:r>
        <w:t xml:space="preserve"> </w:t>
      </w:r>
      <w:r>
        <w:t xml:space="preserve">– Conducting semi-structured interviews with 30 Brisbane judges (representing all levels) and focus groups with 15 community leaders from diverse Brisbane neighborhoods (e.g., South Bank, Fortitude Valley, Ipswich). Questions will explore judicial challenges in culturally complex settings.</w:t>
      </w:r>
    </w:p>
    <w:p>
      <w:pPr>
        <w:numPr>
          <w:ilvl w:val="0"/>
          <w:numId w:val="1002"/>
        </w:numPr>
        <w:pStyle w:val="Compact"/>
      </w:pPr>
      <w:r>
        <w:rPr>
          <w:bCs/>
          <w:b/>
        </w:rPr>
        <w:t xml:space="preserve">Phase 3: Community Perception Survey</w:t>
      </w:r>
      <w:r>
        <w:t xml:space="preserve"> </w:t>
      </w:r>
      <w:r>
        <w:t xml:space="preserve">– Deploying anonymous digital surveys targeting 500 Brisbane residents across socioeconomic strata to measure trust levels in judges and identify specific concerns (e.g., bias, accessibility).</w:t>
      </w:r>
    </w:p>
    <w:p>
      <w:pPr>
        <w:pStyle w:val="FirstParagraph"/>
      </w:pPr>
      <w:r>
        <w:t xml:space="preserve">All data collection will comply with Australian Privacy Principles and receive ethical clearance from the University of Queensland’s Human Research Ethics Committee. The analysis will integrate judicial, community, and operational perspectives to generate actionable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Australia Brisbane:</w:t>
      </w:r>
    </w:p>
    <w:p>
      <w:pPr>
        <w:numPr>
          <w:ilvl w:val="0"/>
          <w:numId w:val="1003"/>
        </w:numPr>
        <w:pStyle w:val="Compact"/>
      </w:pPr>
      <w:r>
        <w:rPr>
          <w:bCs/>
          <w:b/>
        </w:rPr>
        <w:t xml:space="preserve">Policy Recommendations for Judicial Diversity</w:t>
      </w:r>
      <w:r>
        <w:t xml:space="preserve">: A data-driven framework to increase representation of women, Indigenous Australians, and CALD judges in Brisbane courts—addressing a key gap identified in national judicial statistics.</w:t>
      </w:r>
    </w:p>
    <w:p>
      <w:pPr>
        <w:numPr>
          <w:ilvl w:val="0"/>
          <w:numId w:val="1003"/>
        </w:numPr>
        <w:pStyle w:val="Compact"/>
      </w:pPr>
      <w:r>
        <w:rPr>
          <w:bCs/>
          <w:b/>
        </w:rPr>
        <w:t xml:space="preserve">Cultural Competency Protocols</w:t>
      </w:r>
      <w:r>
        <w:t xml:space="preserve">: Tailored guidelines for judges handling cases involving Brisbane’s multicultural communities (e.g., protocols for engaging with Aboriginal Legal Services or Pacific Islander community representatives).</w:t>
      </w:r>
    </w:p>
    <w:p>
      <w:pPr>
        <w:numPr>
          <w:ilvl w:val="0"/>
          <w:numId w:val="1003"/>
        </w:numPr>
        <w:pStyle w:val="Compact"/>
      </w:pPr>
      <w:r>
        <w:rPr>
          <w:bCs/>
          <w:b/>
        </w:rPr>
        <w:t xml:space="preserve">Public Trust Metrics</w:t>
      </w:r>
      <w:r>
        <w:t xml:space="preserve">: A validated index measuring trust in judges, which will inform Queensland’s Justice Department to redesign court communication strategies.</w:t>
      </w:r>
    </w:p>
    <w:p>
      <w:pPr>
        <w:pStyle w:val="FirstParagraph"/>
      </w:pPr>
      <w:r>
        <w:t xml:space="preserve">Significantly, this work extends beyond Brisbane. As Australia’s fastest-growing major city, Brisbane serves as a bellwether for urban justice challenges across the nation. The findings will directly contribute to the Australian Government’s Judicial Services Strategy 2030 and support Queensland’s Justice Plan (2023–2033), ensuring resources are allocated where they most impact judicial effectiveness.</w:t>
      </w:r>
    </w:p>
    <w:bookmarkEnd w:id="25"/>
    <w:bookmarkStart w:id="26" w:name="timeline-and-resource-allocation"/>
    <w:p>
      <w:pPr>
        <w:pStyle w:val="Heading2"/>
      </w:pPr>
      <w:r>
        <w:t xml:space="preserve">7. Timeline and Resource Allocation</w:t>
      </w:r>
    </w:p>
    <w:p>
      <w:pPr>
        <w:pStyle w:val="FirstParagraph"/>
      </w:pPr>
      <w:r>
        <w:t xml:space="preserve">The Research Proposal spans 18 months:</w:t>
      </w:r>
    </w:p>
    <w:p>
      <w:pPr>
        <w:numPr>
          <w:ilvl w:val="0"/>
          <w:numId w:val="1004"/>
        </w:numPr>
        <w:pStyle w:val="Compact"/>
      </w:pPr>
      <w:r>
        <w:rPr>
          <w:bCs/>
          <w:b/>
        </w:rPr>
        <w:t xml:space="preserve">Months 1–4</w:t>
      </w:r>
      <w:r>
        <w:t xml:space="preserve">: Data acquisition and ethical approvals (focused on Brisbane court databases).</w:t>
      </w:r>
    </w:p>
    <w:p>
      <w:pPr>
        <w:numPr>
          <w:ilvl w:val="0"/>
          <w:numId w:val="1004"/>
        </w:numPr>
        <w:pStyle w:val="Compact"/>
      </w:pPr>
      <w:r>
        <w:rPr>
          <w:bCs/>
          <w:b/>
        </w:rPr>
        <w:t xml:space="preserve">Months 5–10</w:t>
      </w:r>
      <w:r>
        <w:t xml:space="preserve">: Fieldwork in Brisbane (interviews, surveys, community engagement).</w:t>
      </w:r>
    </w:p>
    <w:p>
      <w:pPr>
        <w:numPr>
          <w:ilvl w:val="0"/>
          <w:numId w:val="1004"/>
        </w:numPr>
        <w:pStyle w:val="Compact"/>
      </w:pPr>
      <w:r>
        <w:rPr>
          <w:bCs/>
          <w:b/>
        </w:rPr>
        <w:t xml:space="preserve">Months 11–16</w:t>
      </w:r>
      <w:r>
        <w:t xml:space="preserve">: Data analysis and draft reporting.</w:t>
      </w:r>
    </w:p>
    <w:p>
      <w:pPr>
        <w:numPr>
          <w:ilvl w:val="0"/>
          <w:numId w:val="1004"/>
        </w:numPr>
        <w:pStyle w:val="Compact"/>
      </w:pPr>
      <w:r>
        <w:rPr>
          <w:bCs/>
          <w:b/>
        </w:rPr>
        <w:t xml:space="preserve">Month 17–18</w:t>
      </w:r>
      <w:r>
        <w:t xml:space="preserve">: Policy briefing to Queensland Attorney-General’s office and academic publication.</w:t>
      </w:r>
    </w:p>
    <w:p>
      <w:pPr>
        <w:pStyle w:val="FirstParagraph"/>
      </w:pPr>
      <w:r>
        <w:t xml:space="preserve">A proposed budget of $95,000 covers researcher salaries (4 FTEs), survey tools, travel for Brisbane-based fieldwork, and community engagement stipends. Funding will be sought from the Australian Research Council and Queensland Government Justice Initiatives Fund.</w:t>
      </w:r>
    </w:p>
    <w:bookmarkEnd w:id="26"/>
    <w:bookmarkStart w:id="27" w:name="conclusion"/>
    <w:p>
      <w:pPr>
        <w:pStyle w:val="Heading2"/>
      </w:pPr>
      <w:r>
        <w:t xml:space="preserve">8. Conclusion</w:t>
      </w:r>
    </w:p>
    <w:p>
      <w:pPr>
        <w:pStyle w:val="FirstParagraph"/>
      </w:pPr>
      <w:r>
        <w:t xml:space="preserve">In Australia Brisbane, where justice delivery touches every facet of a dynamic metropolis, this research is not merely academic—it is a civic imperative. By centering the judge as both an institution and an individual within Brisbane’s evolving social tapestry, this proposal bridges critical gaps in understanding how judicial excellence can be systematically nurtured. The outcomes will empower judges to serve as more effective guardians of justice in one of Australia’s most representative cities, ultimately strengthening community trust across Queensland and setting a precedent for national judicial practice. This Research Proposal represents a decisive step toward ensuring that the judge—Australia’s cornerstone of equity—remains responsive, accessible, and deeply embedded within the heartbeat of Brisbane.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and Community Trust in Australia Brisbane</dc:title>
  <dc:creator/>
  <dc:language>en</dc:language>
  <cp:keywords/>
  <dcterms:created xsi:type="dcterms:W3CDTF">2025-12-12T08:26:52Z</dcterms:created>
  <dcterms:modified xsi:type="dcterms:W3CDTF">2025-12-12T08:26:52Z</dcterms:modified>
</cp:coreProperties>
</file>

<file path=docProps/custom.xml><?xml version="1.0" encoding="utf-8"?>
<Properties xmlns="http://schemas.openxmlformats.org/officeDocument/2006/custom-properties" xmlns:vt="http://schemas.openxmlformats.org/officeDocument/2006/docPropsVTypes"/>
</file>