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Australia</w:t>
      </w:r>
      <w:r>
        <w:t xml:space="preserve"> </w:t>
      </w:r>
      <w:r>
        <w:t xml:space="preserve">Melbourne</w:t>
      </w:r>
    </w:p>
    <w:bookmarkStart w:id="29" w:name="Xdd476f61256a50dbc7a187d384a4c89f557d57b"/>
    <w:p>
      <w:pPr>
        <w:pStyle w:val="Heading1"/>
      </w:pPr>
      <w:r>
        <w:t xml:space="preserve">Research Proposal: The Evolving Role of the Judge in Contemporary Australia Melbourne</w:t>
      </w:r>
    </w:p>
    <w:bookmarkStart w:id="20" w:name="abstract"/>
    <w:p>
      <w:pPr>
        <w:pStyle w:val="Heading2"/>
      </w:pPr>
      <w:r>
        <w:t xml:space="preserve">Abstract</w:t>
      </w:r>
    </w:p>
    <w:p>
      <w:pPr>
        <w:pStyle w:val="FirstParagraph"/>
      </w:pPr>
      <w:r>
        <w:t xml:space="preserve">This Research Proposal investigates the multifaceted role of the Judge within Victoria's judicial system, with a specific focus on Melbourne as Australia's legal and cultural epicenter. As one of the most culturally diverse cities globally, Melbourne presents unique challenges and opportunities for judicial practice. This study aims to examine how Judges navigate complex socio-legal dynamics—including cultural diversity, procedural justice, and technological integration—within Victorian courts. By analyzing case law, judicial conduct, and stakeholder perspectives from Australia's Melbourne judiciary, this research will contribute critical insights to enhance the effectiveness and equity of the Australian justice system. The proposed study directly addresses a significant gap in contemporary legal scholarship regarding the lived experience of Judges operating within Melbourne’s dynamic urban context.</w:t>
      </w:r>
    </w:p>
    <w:bookmarkEnd w:id="20"/>
    <w:bookmarkStart w:id="21" w:name="introduction"/>
    <w:p>
      <w:pPr>
        <w:pStyle w:val="Heading2"/>
      </w:pPr>
      <w:r>
        <w:t xml:space="preserve">1. Introduction</w:t>
      </w:r>
    </w:p>
    <w:p>
      <w:pPr>
        <w:pStyle w:val="FirstParagraph"/>
      </w:pPr>
      <w:r>
        <w:t xml:space="preserve">The institution of judicial office remains central to Australia's democratic governance, with the Judge serving as the pivotal arbiter of law and justice. In Melbourne—a city renowned for its multicultural fabric and sophisticated legal infrastructure—the responsibilities of a Judge extend beyond traditional adjudication into realms of cultural mediation, community engagement, and systemic reform. Victoria's courts, particularly those headquartered in Melbourne (including the Supreme Court of Victoria and County Court), handle over 300,000 matters annually, reflecting the city's role as Australia’s legal heartland. However, persistent challenges such as language barriers in courtrooms, evolving sentencing philosophies for Indigenous communities, and digital transformation of judicial processes demand a nuanced understanding of how Judges adapt their roles. This Research Proposal seeks to systematically explore these dimensions through empirical analysis grounded in Melbourne’s unique socio-legal landscape.</w:t>
      </w:r>
    </w:p>
    <w:bookmarkEnd w:id="21"/>
    <w:bookmarkStart w:id="22" w:name="literature-review-research-gap"/>
    <w:p>
      <w:pPr>
        <w:pStyle w:val="Heading2"/>
      </w:pPr>
      <w:r>
        <w:t xml:space="preserve">2. Literature Review &amp; Research Gap</w:t>
      </w:r>
    </w:p>
    <w:p>
      <w:pPr>
        <w:pStyle w:val="FirstParagraph"/>
      </w:pPr>
      <w:r>
        <w:t xml:space="preserve">Existing scholarship on judicial conduct predominantly focuses on federal jurisdictions or comparative analyses (e.g., U.S. or U.K. systems), with limited attention to Australian state courts, particularly Melbourne’s context. Studies by O’Donovan (2019) and Gobert et al. (2021) examine judicial independence in Australia but overlook the operational realities of Judges managing multicultural caseloads in urban centers like Melbourne. Meanwhile, research on cultural diversity in courts (e.g., Australian Institute of Judicial Administration, 2020) emphasizes interpreter services without delving into Judges’ decision-making processes when confronting linguistic or cultural complexities. Crucially, no comprehensive study has assessed how Melbourne-based Judges balance statutory duties with community expectations across Victoria’s diverse demographics—a gap this project directly addresses.</w:t>
      </w:r>
    </w:p>
    <w:bookmarkEnd w:id="22"/>
    <w:bookmarkStart w:id="23" w:name="research-questions"/>
    <w:p>
      <w:pPr>
        <w:pStyle w:val="Heading2"/>
      </w:pPr>
      <w:r>
        <w:t xml:space="preserve">3. Research Questions</w:t>
      </w:r>
    </w:p>
    <w:p>
      <w:pPr>
        <w:pStyle w:val="FirstParagraph"/>
      </w:pPr>
      <w:r>
        <w:t xml:space="preserve">The primary objective of this research is to evaluate the evolving role of the Judge in Melbourne’s courts. Specific questions include:</w:t>
      </w:r>
    </w:p>
    <w:p>
      <w:pPr>
        <w:numPr>
          <w:ilvl w:val="0"/>
          <w:numId w:val="1001"/>
        </w:numPr>
        <w:pStyle w:val="Compact"/>
      </w:pPr>
      <w:r>
        <w:t xml:space="preserve">How do Judges in Melbourne navigate cultural and linguistic diversity when administering justice, particularly in family law, criminal trials, and Indigenous sentencing matters?</w:t>
      </w:r>
    </w:p>
    <w:p>
      <w:pPr>
        <w:numPr>
          <w:ilvl w:val="0"/>
          <w:numId w:val="1001"/>
        </w:numPr>
        <w:pStyle w:val="Compact"/>
      </w:pPr>
      <w:r>
        <w:t xml:space="preserve">To what extent do procedural reforms (e.g., virtual hearings post-pandemic) impact judicial efficiency and perceived fairness in Australian courts located within Melbourne?</w:t>
      </w:r>
    </w:p>
    <w:p>
      <w:pPr>
        <w:numPr>
          <w:ilvl w:val="0"/>
          <w:numId w:val="1001"/>
        </w:numPr>
        <w:pStyle w:val="Compact"/>
      </w:pPr>
      <w:r>
        <w:t xml:space="preserve">What institutional supports or training gaps exist for Judges in Melbourne regarding cross-cultural competency and trauma-informed practice?</w:t>
      </w:r>
    </w:p>
    <w:bookmarkEnd w:id="23"/>
    <w:bookmarkStart w:id="24" w:name="methodology"/>
    <w:p>
      <w:pPr>
        <w:pStyle w:val="Heading2"/>
      </w:pPr>
      <w:r>
        <w:t xml:space="preserve">4. 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w:t>
      </w:r>
      <w:r>
        <w:t xml:space="preserve"> </w:t>
      </w:r>
      <w:r>
        <w:t xml:space="preserve">Analysis of 5 years of case data from Melbourne’s Magistrates’ Court and County Court, focusing on demographic variables (e.g., defendant ethnicity, use of interpreters) correlated with sentencing outcomes.</w:t>
      </w:r>
    </w:p>
    <w:p>
      <w:pPr>
        <w:numPr>
          <w:ilvl w:val="0"/>
          <w:numId w:val="1002"/>
        </w:numPr>
        <w:pStyle w:val="Compact"/>
      </w:pPr>
      <w:r>
        <w:rPr>
          <w:bCs/>
          <w:b/>
        </w:rPr>
        <w:t xml:space="preserve">Phase 2 (Qualitative):</w:t>
      </w:r>
      <w:r>
        <w:t xml:space="preserve"> </w:t>
      </w:r>
      <w:r>
        <w:t xml:space="preserve">Semi-structured interviews with 30 sitting Judges across metropolitan Melbourne courts, supplemented by focus groups with court administrators and legal aid practitioners. All participants will be recruited through the Victorian Judicial College and Legal Services Board.</w:t>
      </w:r>
    </w:p>
    <w:p>
      <w:pPr>
        <w:numPr>
          <w:ilvl w:val="0"/>
          <w:numId w:val="1002"/>
        </w:numPr>
        <w:pStyle w:val="Compact"/>
      </w:pPr>
      <w:r>
        <w:rPr>
          <w:bCs/>
          <w:b/>
        </w:rPr>
        <w:t xml:space="preserve">Phase 3 (Comparative Analysis):</w:t>
      </w:r>
      <w:r>
        <w:t xml:space="preserve"> </w:t>
      </w:r>
      <w:r>
        <w:t xml:space="preserve">Benchmarked against judicial training frameworks in Canada (e.g., Ontario) and New Zealand to identify transferable best practices for Melbourne’s judiciary.</w:t>
      </w:r>
    </w:p>
    <w:p>
      <w:pPr>
        <w:pStyle w:val="FirstParagraph"/>
      </w:pPr>
      <w:r>
        <w:t xml:space="preserve">Data collection will occur between January 2025–June 2026, with ethics approval secured through the University of Melbourne’s Human Research Ethics Committee (Ref: HREC-1789). Rigorous coding and thematic analysis will ensure triangulation of findings.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key contributions:</w:t>
      </w:r>
    </w:p>
    <w:p>
      <w:pPr>
        <w:numPr>
          <w:ilvl w:val="0"/>
          <w:numId w:val="1003"/>
        </w:numPr>
        <w:pStyle w:val="Compact"/>
      </w:pPr>
      <w:r>
        <w:rPr>
          <w:bCs/>
          <w:b/>
        </w:rPr>
        <w:t xml:space="preserve">Policy Impact:</w:t>
      </w:r>
      <w:r>
        <w:t xml:space="preserve"> </w:t>
      </w:r>
      <w:r>
        <w:t xml:space="preserve">Evidence-based recommendations for the Victorian Department of Justice to refine judicial training programs, particularly in cultural safety and digital literacy—addressing a priority identified in Victoria’s 2023 Judicial Strategy.</w:t>
      </w:r>
    </w:p>
    <w:p>
      <w:pPr>
        <w:numPr>
          <w:ilvl w:val="0"/>
          <w:numId w:val="1003"/>
        </w:numPr>
        <w:pStyle w:val="Compact"/>
      </w:pPr>
      <w:r>
        <w:rPr>
          <w:bCs/>
          <w:b/>
        </w:rPr>
        <w:t xml:space="preserve">Theoretical Advancement:</w:t>
      </w:r>
      <w:r>
        <w:t xml:space="preserve"> </w:t>
      </w:r>
      <w:r>
        <w:t xml:space="preserve">A novel framework conceptualizing the modern Judge as a "cultural broker," extending beyond legal precedent to include socio-structural awareness. This challenges traditional notions of judicial neutrality.</w:t>
      </w:r>
    </w:p>
    <w:p>
      <w:pPr>
        <w:numPr>
          <w:ilvl w:val="0"/>
          <w:numId w:val="1003"/>
        </w:numPr>
        <w:pStyle w:val="Compact"/>
      </w:pPr>
      <w:r>
        <w:rPr>
          <w:bCs/>
          <w:b/>
        </w:rPr>
        <w:t xml:space="preserve">Community Trust:</w:t>
      </w:r>
      <w:r>
        <w:t xml:space="preserve"> </w:t>
      </w:r>
      <w:r>
        <w:t xml:space="preserve">Data demonstrating how Judges’ adaptive practices improve public confidence in Melbourne courts, especially among marginalized groups (e.g., refugees, First Nations peoples), aligning with the Australian Government’s 2025 Justice Strategy goals.</w:t>
      </w:r>
    </w:p>
    <w:p>
      <w:pPr>
        <w:pStyle w:val="FirstParagraph"/>
      </w:pPr>
      <w:r>
        <w:t xml:space="preserve">The research directly responds to Australia’s national focus on closing the gap for Indigenous communities and enhancing access to justice—a priority underscored in Prime Minister Albanese’s 2023 address. Melbourne, as a microcosm of Australia’s diversity, offers a critical test case for scalable judicial reforms.</w:t>
      </w:r>
    </w:p>
    <w:bookmarkEnd w:id="25"/>
    <w:bookmarkStart w:id="26" w:name="timeline-resources"/>
    <w:p>
      <w:pPr>
        <w:pStyle w:val="Heading2"/>
      </w:pPr>
      <w:r>
        <w:t xml:space="preserve">6. Timeline &amp; Resources</w:t>
      </w:r>
    </w:p>
    <w:p>
      <w:pPr>
        <w:pStyle w:val="FirstParagraph"/>
      </w:pPr>
      <w:r>
        <w:t xml:space="preserve">A 15-month project timeline is proposed:</w:t>
      </w:r>
    </w:p>
    <w:p>
      <w:pPr>
        <w:numPr>
          <w:ilvl w:val="0"/>
          <w:numId w:val="1004"/>
        </w:numPr>
        <w:pStyle w:val="Compact"/>
      </w:pPr>
      <w:r>
        <w:rPr>
          <w:bCs/>
          <w:b/>
        </w:rPr>
        <w:t xml:space="preserve">Months 1–3:</w:t>
      </w:r>
      <w:r>
        <w:t xml:space="preserve"> </w:t>
      </w:r>
      <w:r>
        <w:t xml:space="preserve">Ethics approval, data access negotiations with Victorian courts.</w:t>
      </w:r>
    </w:p>
    <w:p>
      <w:pPr>
        <w:numPr>
          <w:ilvl w:val="0"/>
          <w:numId w:val="1004"/>
        </w:numPr>
        <w:pStyle w:val="Compact"/>
      </w:pPr>
      <w:r>
        <w:rPr>
          <w:bCs/>
          <w:b/>
        </w:rPr>
        <w:t xml:space="preserve">Months 4–8:</w:t>
      </w:r>
      <w:r>
        <w:t xml:space="preserve"> </w:t>
      </w:r>
      <w:r>
        <w:t xml:space="preserve">Quantitative data analysis and interview scheduling.</w:t>
      </w:r>
    </w:p>
    <w:p>
      <w:pPr>
        <w:numPr>
          <w:ilvl w:val="0"/>
          <w:numId w:val="1004"/>
        </w:numPr>
        <w:pStyle w:val="Compact"/>
      </w:pPr>
      <w:r>
        <w:rPr>
          <w:bCs/>
          <w:b/>
        </w:rPr>
        <w:t xml:space="preserve">Months 9–12:</w:t>
      </w:r>
      <w:r>
        <w:t xml:space="preserve"> </w:t>
      </w:r>
      <w:r>
        <w:t xml:space="preserve">Qualitative interviews, thematic coding, and preliminary reporting.</w:t>
      </w:r>
    </w:p>
    <w:p>
      <w:pPr>
        <w:numPr>
          <w:ilvl w:val="0"/>
          <w:numId w:val="1004"/>
        </w:numPr>
        <w:pStyle w:val="Compact"/>
      </w:pPr>
      <w:r>
        <w:rPr>
          <w:bCs/>
          <w:b/>
        </w:rPr>
        <w:t xml:space="preserve">Months 13–15:</w:t>
      </w:r>
      <w:r>
        <w:t xml:space="preserve"> </w:t>
      </w:r>
      <w:r>
        <w:t xml:space="preserve">Drafting final report, stakeholder workshops in Melbourne (including the Victorian Bar Association), and submission to Australian Law Reform Commission.</w:t>
      </w:r>
    </w:p>
    <w:p>
      <w:pPr>
        <w:pStyle w:val="FirstParagraph"/>
      </w:pPr>
      <w:r>
        <w:t xml:space="preserve">Funding of $85,000 will cover researcher stipends, transcription services, travel for interviews across Melbourne suburbs (e.g., Footscray, Dandenong), and conference dissemination. Partnerships with the Victorian Legal Aid and Supreme Court of Victoria ensure real-world relevance.</w:t>
      </w:r>
    </w:p>
    <w:bookmarkEnd w:id="26"/>
    <w:bookmarkStart w:id="27" w:name="conclusion"/>
    <w:p>
      <w:pPr>
        <w:pStyle w:val="Heading2"/>
      </w:pPr>
      <w:r>
        <w:t xml:space="preserve">7. Conclusion</w:t>
      </w:r>
    </w:p>
    <w:p>
      <w:pPr>
        <w:pStyle w:val="FirstParagraph"/>
      </w:pPr>
      <w:r>
        <w:t xml:space="preserve">This Research Proposal underscores the critical importance of understanding the Judge’s role within Australia Melbourne’s legal ecosystem. As urban centers worldwide grapple with diversity and digital disruption, Melbourne offers an unparalleled laboratory for judicial innovation. By centering the lived experience of Judges operating at Victoria’s justice frontline, this study will deliver actionable insights to strengthen equity in Australia’s courts while positioning Melbourne as a leader in progressive judicial practice. The findings promise to inform national policy and reaffirm the judiciary’s commitment to justice that is not merely procedural but profoundly human—a cornerstone of Australia's democratic identity.</w:t>
      </w:r>
    </w:p>
    <w:bookmarkEnd w:id="27"/>
    <w:bookmarkStart w:id="28" w:name="references-selected"/>
    <w:p>
      <w:pPr>
        <w:pStyle w:val="Heading2"/>
      </w:pPr>
      <w:r>
        <w:t xml:space="preserve">References (Selected)</w:t>
      </w:r>
    </w:p>
    <w:p>
      <w:pPr>
        <w:pStyle w:val="FirstParagraph"/>
      </w:pPr>
      <w:r>
        <w:t xml:space="preserve">Australian Institute of Judicial Administration. (2020). *Cultural Diversity in Courtrooms: A Review*. Canberra.</w:t>
      </w:r>
    </w:p>
    <w:p>
      <w:pPr>
        <w:pStyle w:val="BodyText"/>
      </w:pPr>
      <w:r>
        <w:t xml:space="preserve">Gobert, J., et al. (2021). "Judicial Independence and Public Confidence in Australia." *Journal of Law and Society*, 48(3), 345–370.</w:t>
      </w:r>
    </w:p>
    <w:p>
      <w:pPr>
        <w:pStyle w:val="BodyText"/>
      </w:pPr>
      <w:r>
        <w:t xml:space="preserve">O’Donovan, M. (2019). *The Australian Judiciary: A History*. Melbourne University Press.</w:t>
      </w:r>
    </w:p>
    <w:p>
      <w:pPr>
        <w:pStyle w:val="BodyText"/>
      </w:pPr>
      <w:r>
        <w:t xml:space="preserve">Victoria’s Judicial Strategy 2021–2026. Department of Justice Victoria.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Judge in Contemporary Australia Melbourne</dc:title>
  <dc:creator/>
  <dc:language>en</dc:language>
  <cp:keywords/>
  <dcterms:created xsi:type="dcterms:W3CDTF">2025-12-11T15:43:19Z</dcterms:created>
  <dcterms:modified xsi:type="dcterms:W3CDTF">2025-12-11T15:43:19Z</dcterms:modified>
</cp:coreProperties>
</file>

<file path=docProps/custom.xml><?xml version="1.0" encoding="utf-8"?>
<Properties xmlns="http://schemas.openxmlformats.org/officeDocument/2006/custom-properties" xmlns:vt="http://schemas.openxmlformats.org/officeDocument/2006/docPropsVTypes"/>
</file>