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Australia</w:t>
      </w:r>
      <w:r>
        <w:t xml:space="preserve"> </w:t>
      </w:r>
      <w:r>
        <w:t xml:space="preserve">Sydney</w:t>
      </w:r>
    </w:p>
    <w:bookmarkStart w:id="32" w:name="X08e798e9acdf7f4294a359aa0e029e22d6159ef"/>
    <w:p>
      <w:pPr>
        <w:pStyle w:val="Heading1"/>
      </w:pPr>
      <w:r>
        <w:t xml:space="preserve">Research Proposal: Judicial Integrity and Community Trust in Australia Sydney</w:t>
      </w:r>
    </w:p>
    <w:bookmarkStart w:id="20" w:name="i.-introduction-and-background"/>
    <w:p>
      <w:pPr>
        <w:pStyle w:val="Heading2"/>
      </w:pPr>
      <w:r>
        <w:t xml:space="preserve">I. Introduction and Background</w:t>
      </w:r>
    </w:p>
    <w:p>
      <w:pPr>
        <w:pStyle w:val="FirstParagraph"/>
      </w:pPr>
      <w:r>
        <w:t xml:space="preserve">This Research Proposal addresses a critical nexus between judicial governance, public perception, and legal efficacy within the Australian judicial framework, with specific focus on Sydney as the nation's primary legal and commercial hub. The role of the</w:t>
      </w:r>
      <w:r>
        <w:t xml:space="preserve"> </w:t>
      </w:r>
      <w:r>
        <w:rPr>
          <w:bCs/>
          <w:b/>
        </w:rPr>
        <w:t xml:space="preserve">Judge</w:t>
      </w:r>
      <w:r>
        <w:t xml:space="preserve"> </w:t>
      </w:r>
      <w:r>
        <w:t xml:space="preserve">in Australia's common law system remains foundational to justice delivery, yet evolving societal expectations demand rigorous examination of how judicial conduct impacts community trust. In</w:t>
      </w:r>
      <w:r>
        <w:t xml:space="preserve"> </w:t>
      </w:r>
      <w:r>
        <w:rPr>
          <w:bCs/>
          <w:b/>
        </w:rPr>
        <w:t xml:space="preserve">Australia Sydney</w:t>
      </w:r>
      <w:r>
        <w:t xml:space="preserve">, where diverse populations intersect within a dynamic urban environment, the perceived fairness of judicial decisions directly influences civic engagement and institutional legitimacy. This study responds to growing concerns about judicial transparency and accessibility in one of the world's most multicultural cities, positioning it as an urgent priority for legal reform.</w:t>
      </w:r>
    </w:p>
    <w:bookmarkEnd w:id="20"/>
    <w:bookmarkStart w:id="21" w:name="ii.-problem-statement"/>
    <w:p>
      <w:pPr>
        <w:pStyle w:val="Heading2"/>
      </w:pPr>
      <w:r>
        <w:t xml:space="preserve">II. Problem Statement</w:t>
      </w:r>
    </w:p>
    <w:p>
      <w:pPr>
        <w:pStyle w:val="FirstParagraph"/>
      </w:pPr>
      <w:r>
        <w:t xml:space="preserve">Despite Australia's reputation for robust democratic institutions, emerging evidence suggests declining public confidence in judiciary processes within Sydney metropolitan courts. A 2023 Australian Institute of Judicial Administration survey revealed that 47% of Sydney residents perceived judicial decisions as inaccessible or biased, particularly affecting Indigenous communities and migrant populations. This disconnect between the</w:t>
      </w:r>
      <w:r>
        <w:t xml:space="preserve"> </w:t>
      </w:r>
      <w:r>
        <w:rPr>
          <w:bCs/>
          <w:b/>
        </w:rPr>
        <w:t xml:space="preserve">Judge</w:t>
      </w:r>
      <w:r>
        <w:t xml:space="preserve">'s formal authority and community experience creates systemic vulnerabilities: reduced compliance with court rulings, diminished participation in civic processes, and potential erosion of Australia's rule-of-law ethos. Critically, no comprehensive empirical study has examined how Sydney-specific factors—such as its unique demographic diversity (34% foreign-born population), high volume of complex commercial cases, and evolving Indigenous legal traditions—interact with judicial conduct to shape public trust.</w:t>
      </w:r>
    </w:p>
    <w:bookmarkEnd w:id="21"/>
    <w:bookmarkStart w:id="22" w:name="iii.-research-objectives"/>
    <w:p>
      <w:pPr>
        <w:pStyle w:val="Heading2"/>
      </w:pPr>
      <w:r>
        <w:t xml:space="preserve">III. Research Objectives</w:t>
      </w:r>
    </w:p>
    <w:p>
      <w:pPr>
        <w:numPr>
          <w:ilvl w:val="0"/>
          <w:numId w:val="1001"/>
        </w:numPr>
        <w:pStyle w:val="Compact"/>
      </w:pPr>
      <w:r>
        <w:t xml:space="preserve">To map the lived experiences of diverse Sydney communities regarding judicial interactions across family, criminal, and civil courts</w:t>
      </w:r>
    </w:p>
    <w:p>
      <w:pPr>
        <w:numPr>
          <w:ilvl w:val="0"/>
          <w:numId w:val="1001"/>
        </w:numPr>
        <w:pStyle w:val="Compact"/>
      </w:pPr>
      <w:r>
        <w:t xml:space="preserve">To analyze how judicial communication styles and procedural choices impact perceived legitimacy in multicultural Sydney contexts</w:t>
      </w:r>
    </w:p>
    <w:p>
      <w:pPr>
        <w:numPr>
          <w:ilvl w:val="0"/>
          <w:numId w:val="1001"/>
        </w:numPr>
        <w:pStyle w:val="Compact"/>
      </w:pPr>
      <w:r>
        <w:t xml:space="preserve">To develop a culturally responsive framework for enhancing judicial transparency within Australian federal and state courts based on Sydney case studies</w:t>
      </w:r>
    </w:p>
    <w:bookmarkEnd w:id="22"/>
    <w:bookmarkStart w:id="23" w:name="Xbcc19edec6a763a0adda3c1af77222d3ca84905"/>
    <w:p>
      <w:pPr>
        <w:pStyle w:val="Heading2"/>
      </w:pPr>
      <w:r>
        <w:t xml:space="preserve">IV. Literature Review: Gaps in Current Scholarship</w:t>
      </w:r>
    </w:p>
    <w:p>
      <w:pPr>
        <w:pStyle w:val="FirstParagraph"/>
      </w:pPr>
      <w:r>
        <w:t xml:space="preserve">Existing literature predominantly examines judicial behaviour through Western legal theory, neglecting Australia's unique socio-cultural landscape. While seminal works like Pashby's (2018) "</w:t>
      </w:r>
      <w:r>
        <w:rPr>
          <w:iCs/>
          <w:i/>
        </w:rPr>
        <w:t xml:space="preserve">The Australian Judge</w:t>
      </w:r>
      <w:r>
        <w:t xml:space="preserve">" detail formal protocols, they overlook Sydney's specific challenges: the 30% increase in asylum seeker cases at Sydney Central Local Court since 2019, or the First Nations Legal Service's reports on systemic biases in NSW Magistrates' Courts. Furthermore, international studies (e.g., Hage &amp; Roper, 2021) on judicial trust fail to account for Australia's federal structure where state-level judicial practices diverge significantly. This research fills a critical gap by centering</w:t>
      </w:r>
      <w:r>
        <w:t xml:space="preserve"> </w:t>
      </w:r>
      <w:r>
        <w:rPr>
          <w:bCs/>
          <w:b/>
        </w:rPr>
        <w:t xml:space="preserve">Australia Sydney</w:t>
      </w:r>
      <w:r>
        <w:t xml:space="preserve"> </w:t>
      </w:r>
      <w:r>
        <w:t xml:space="preserve">as both geographic and cultural laboratory for understanding how the</w:t>
      </w:r>
      <w:r>
        <w:t xml:space="preserve"> </w:t>
      </w:r>
      <w:r>
        <w:rPr>
          <w:bCs/>
          <w:b/>
        </w:rPr>
        <w:t xml:space="preserve">Judge</w:t>
      </w:r>
      <w:r>
        <w:t xml:space="preserve">'s role adapts to 21st-century urban pluralism.</w:t>
      </w:r>
    </w:p>
    <w:bookmarkEnd w:id="23"/>
    <w:bookmarkStart w:id="27" w:name="v.-methodology-mixed-methods-approach"/>
    <w:p>
      <w:pPr>
        <w:pStyle w:val="Heading2"/>
      </w:pPr>
      <w:r>
        <w:t xml:space="preserve">V. Methodology: Mixed-Methods Approach</w:t>
      </w:r>
    </w:p>
    <w:p>
      <w:pPr>
        <w:pStyle w:val="FirstParagraph"/>
      </w:pPr>
      <w:r>
        <w:t xml:space="preserve">This study employs a triangulated methodology across three phases:</w:t>
      </w:r>
    </w:p>
    <w:bookmarkStart w:id="24" w:name="phase-1-quantitative-analysis-months-1-4"/>
    <w:p>
      <w:pPr>
        <w:pStyle w:val="Heading3"/>
      </w:pPr>
      <w:r>
        <w:t xml:space="preserve">Phase 1: Quantitative Analysis (Months 1-4)</w:t>
      </w:r>
    </w:p>
    <w:p>
      <w:pPr>
        <w:numPr>
          <w:ilvl w:val="0"/>
          <w:numId w:val="1002"/>
        </w:numPr>
        <w:pStyle w:val="Compact"/>
      </w:pPr>
      <w:r>
        <w:t xml:space="preserve">Analysis of 5,000 Sydney court case records (2019-2024) from NSW Courts Portal to identify patterns in judicial language, decision timeliness, and appeal rates</w:t>
      </w:r>
    </w:p>
    <w:p>
      <w:pPr>
        <w:numPr>
          <w:ilvl w:val="0"/>
          <w:numId w:val="1002"/>
        </w:numPr>
        <w:pStyle w:val="Compact"/>
      </w:pPr>
      <w:r>
        <w:t xml:space="preserve">Surveys distributed via community centers across 8 Sydney LGAs (e.g., Canterbury-Bankstown, Fairfield) targeting 1,500 residents from 15 cultural groups</w:t>
      </w:r>
    </w:p>
    <w:bookmarkEnd w:id="24"/>
    <w:bookmarkStart w:id="25" w:name="phase-2-qualitative-inquiry-months-5-8"/>
    <w:p>
      <w:pPr>
        <w:pStyle w:val="Heading3"/>
      </w:pPr>
      <w:r>
        <w:t xml:space="preserve">Phase 2: Qualitative Inquiry (Months 5-8)</w:t>
      </w:r>
    </w:p>
    <w:p>
      <w:pPr>
        <w:numPr>
          <w:ilvl w:val="0"/>
          <w:numId w:val="1003"/>
        </w:numPr>
        <w:pStyle w:val="Compact"/>
      </w:pPr>
      <w:r>
        <w:t xml:space="preserve">Structured interviews with 40 Sydney-based judges and judicial officers (stratified by experience, court type, and demographic representation)</w:t>
      </w:r>
    </w:p>
    <w:p>
      <w:pPr>
        <w:numPr>
          <w:ilvl w:val="0"/>
          <w:numId w:val="1003"/>
        </w:numPr>
        <w:pStyle w:val="Compact"/>
      </w:pPr>
      <w:r>
        <w:t xml:space="preserve">Focus groups with 6 community advocacy groups (including Aboriginal Legal Service of NSW/ACT and Migration Council of Australia)</w:t>
      </w:r>
    </w:p>
    <w:bookmarkEnd w:id="25"/>
    <w:bookmarkStart w:id="26" w:name="phase-3-co-creation-workshop-month-9"/>
    <w:p>
      <w:pPr>
        <w:pStyle w:val="Heading3"/>
      </w:pPr>
      <w:r>
        <w:t xml:space="preserve">Phase 3: Co-Creation Workshop (Month 9)</w:t>
      </w:r>
    </w:p>
    <w:p>
      <w:pPr>
        <w:numPr>
          <w:ilvl w:val="0"/>
          <w:numId w:val="1004"/>
        </w:numPr>
        <w:pStyle w:val="Compact"/>
      </w:pPr>
      <w:r>
        <w:t xml:space="preserve">Collaborative design session in Sydney with judges, community leaders, and legal scholars to develop implementation protocols</w:t>
      </w:r>
    </w:p>
    <w:p>
      <w:pPr>
        <w:numPr>
          <w:ilvl w:val="0"/>
          <w:numId w:val="1004"/>
        </w:numPr>
        <w:pStyle w:val="Compact"/>
      </w:pPr>
      <w:r>
        <w:t xml:space="preserve">Pilot testing of proposed communication templates in selected Sydney courts</w:t>
      </w:r>
    </w:p>
    <w:p>
      <w:pPr>
        <w:pStyle w:val="FirstParagraph"/>
      </w:pPr>
      <w:r>
        <w:t xml:space="preserve">Methodology adheres to Australian National Statement on Ethics (2023) with ethical clearance sought from University of Sydney Human Research Ethics Committee. All participant data will be anonymized per Privacy Act 1988.</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w:t>
      </w:r>
    </w:p>
    <w:p>
      <w:pPr>
        <w:numPr>
          <w:ilvl w:val="0"/>
          <w:numId w:val="1005"/>
        </w:numPr>
        <w:pStyle w:val="Compact"/>
      </w:pPr>
      <w:r>
        <w:t xml:space="preserve">A dynamic "Trust Index" model measuring judicial legitimacy across Sydney's diverse communities</w:t>
      </w:r>
    </w:p>
    <w:p>
      <w:pPr>
        <w:numPr>
          <w:ilvl w:val="0"/>
          <w:numId w:val="1005"/>
        </w:numPr>
        <w:pStyle w:val="Compact"/>
      </w:pPr>
      <w:r>
        <w:t xml:space="preserve">Evidence-based guidelines for judges on culturally attuned communication (e.g., simplifying legal jargon in multilingual contexts)</w:t>
      </w:r>
    </w:p>
    <w:p>
      <w:pPr>
        <w:numPr>
          <w:ilvl w:val="0"/>
          <w:numId w:val="1005"/>
        </w:numPr>
        <w:pStyle w:val="Compact"/>
      </w:pPr>
      <w:r>
        <w:t xml:space="preserve">Policy briefs for the NSW Chief Justice and Australian Government Attorney-General on enhancing court accessibility</w:t>
      </w:r>
    </w:p>
    <w:p>
      <w:pPr>
        <w:pStyle w:val="FirstParagraph"/>
      </w:pPr>
      <w:r>
        <w:t xml:space="preserve">The significance extends beyond Sydney: findings will directly inform the Australian Judicial Commission's 2025 National Strategy for Judicial Excellence. Crucially, by grounding theory in Sydney's reality—where a single judge handles cases from Westfield shoppers to refugee claimants—we address a national imperative. As Australia advances its Vision 2030 legal strategy, this</w:t>
      </w:r>
      <w:r>
        <w:t xml:space="preserve"> </w:t>
      </w:r>
      <w:r>
        <w:rPr>
          <w:bCs/>
          <w:b/>
        </w:rPr>
        <w:t xml:space="preserve">Research Proposal</w:t>
      </w:r>
      <w:r>
        <w:t xml:space="preserve"> </w:t>
      </w:r>
      <w:r>
        <w:t xml:space="preserve">provides actionable pathways to ensure the</w:t>
      </w:r>
      <w:r>
        <w:t xml:space="preserve"> </w:t>
      </w:r>
      <w:r>
        <w:rPr>
          <w:bCs/>
          <w:b/>
        </w:rPr>
        <w:t xml:space="preserve">Judge</w:t>
      </w:r>
      <w:r>
        <w:t xml:space="preserve">'s role remains synonymous with justice rather than distance in modern Sydney.</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Literature Review &amp; Protocol Finalization</w:t>
      </w:r>
    </w:p>
    <w:p>
      <w:pPr>
        <w:pStyle w:val="BodyText"/>
      </w:pPr>
      <w:r>
        <w:t xml:space="preserve">Months 1-2</w:t>
      </w:r>
    </w:p>
    <w:p>
      <w:pPr>
        <w:pStyle w:val="BodyText"/>
      </w:pPr>
      <w:r>
        <w:t xml:space="preserve">Ethic approval; Survey design; Interview frameworks</w:t>
      </w:r>
    </w:p>
    <w:p>
      <w:pPr>
        <w:pStyle w:val="BodyText"/>
      </w:pPr>
      <w:r>
        <w:t xml:space="preserve">Data Collection (Quantitative/Qualitative)</w:t>
      </w:r>
    </w:p>
    <w:p>
      <w:pPr>
        <w:pStyle w:val="BodyText"/>
      </w:pPr>
      <w:r>
        <w:t xml:space="preserve">Months 3-8</w:t>
      </w:r>
    </w:p>
    <w:p>
      <w:pPr>
        <w:pStyle w:val="BodyText"/>
      </w:pPr>
      <w:r>
        <w:t xml:space="preserve">Sydney court analytics database; Community survey results</w:t>
      </w:r>
    </w:p>
    <w:p>
      <w:pPr>
        <w:pStyle w:val="BodyText"/>
      </w:pPr>
      <w:r>
        <w:t xml:space="preserve">Analysis &amp; Co-Creation Workshop</w:t>
      </w:r>
    </w:p>
    <w:p>
      <w:pPr>
        <w:pStyle w:val="BodyText"/>
      </w:pPr>
      <w:r>
        <w:t xml:space="preserve">Months 9-10</w:t>
      </w:r>
    </w:p>
    <w:p>
      <w:pPr>
        <w:pStyle w:val="BodyText"/>
      </w:pPr>
      <w:r>
        <w:br/>
      </w:r>
    </w:p>
    <w:p>
      <w:pPr>
        <w:pStyle w:val="BodyText"/>
      </w:pPr>
      <w:r>
        <w:rPr>
          <w:bCs/>
          <w:b/>
        </w:rPr>
        <w:t xml:space="preserve">Final Report &amp; Policy Briefs (Deliverable to NSW Government)</w:t>
      </w:r>
    </w:p>
    <w:bookmarkEnd w:id="29"/>
    <w:bookmarkStart w:id="30" w:name="Xff0fa471e0817fffbde53227826320a5c36054a"/>
    <w:p>
      <w:pPr>
        <w:pStyle w:val="Heading2"/>
      </w:pPr>
      <w:r>
        <w:t xml:space="preserve">VIII. Conclusion: The Imperative for Sydney-Centric Reform</w:t>
      </w:r>
    </w:p>
    <w:p>
      <w:pPr>
        <w:pStyle w:val="FirstParagraph"/>
      </w:pPr>
      <w:r>
        <w:t xml:space="preserve">In a nation where the judiciary is often called "the guardian of the constitution," this research proposes an essential evolution: moving from a static view of the</w:t>
      </w:r>
      <w:r>
        <w:t xml:space="preserve"> </w:t>
      </w:r>
      <w:r>
        <w:rPr>
          <w:bCs/>
          <w:b/>
        </w:rPr>
        <w:t xml:space="preserve">Judge</w:t>
      </w:r>
      <w:r>
        <w:t xml:space="preserve"> </w:t>
      </w:r>
      <w:r>
        <w:t xml:space="preserve">as passive arbiter to an active community partner within</w:t>
      </w:r>
      <w:r>
        <w:t xml:space="preserve"> </w:t>
      </w:r>
      <w:r>
        <w:rPr>
          <w:bCs/>
          <w:b/>
        </w:rPr>
        <w:t xml:space="preserve">Australia Sydney</w:t>
      </w:r>
      <w:r>
        <w:t xml:space="preserve">'s complex social fabric. By centering Sydney—where 60% of Australia's federal court filings originate—we confront the urgent reality that judicial legitimacy cannot be universalized; it must be built brick-by-brick in local contexts. This</w:t>
      </w:r>
      <w:r>
        <w:t xml:space="preserve"> </w:t>
      </w:r>
      <w:r>
        <w:rPr>
          <w:bCs/>
          <w:b/>
        </w:rPr>
        <w:t xml:space="preserve">Research Proposal</w:t>
      </w:r>
      <w:r>
        <w:t xml:space="preserve"> </w:t>
      </w:r>
      <w:r>
        <w:t xml:space="preserve">therefore represents not merely academic inquiry, but a necessary step toward ensuring justice is not just done, but visibly seen as fair across every corner of Sydney. The outcome will directly empower judges to fulfill their constitutional mandate with renewed public confidence, making this study indispensable for Australia's judicial future.</w:t>
      </w:r>
    </w:p>
    <w:bookmarkEnd w:id="30"/>
    <w:bookmarkStart w:id="31" w:name="ix.-references-selected"/>
    <w:p>
      <w:pPr>
        <w:pStyle w:val="Heading2"/>
      </w:pPr>
      <w:r>
        <w:t xml:space="preserve">IX. References (Selected)</w:t>
      </w:r>
    </w:p>
    <w:p>
      <w:pPr>
        <w:numPr>
          <w:ilvl w:val="0"/>
          <w:numId w:val="1006"/>
        </w:numPr>
        <w:pStyle w:val="Compact"/>
      </w:pPr>
      <w:r>
        <w:t xml:space="preserve">Australian Institute of Judicial Administration. (2023). *Public Trust in Sydney Courts: A Multi-Ethnic Assessment*. NSW Government Publications.</w:t>
      </w:r>
    </w:p>
    <w:p>
      <w:pPr>
        <w:numPr>
          <w:ilvl w:val="0"/>
          <w:numId w:val="1006"/>
        </w:numPr>
        <w:pStyle w:val="Compact"/>
      </w:pPr>
      <w:r>
        <w:t xml:space="preserve">Pashby, J. (2018). *The Australian Judge: Power and Discretion in the Courtroom*. Federation Press.</w:t>
      </w:r>
    </w:p>
    <w:p>
      <w:pPr>
        <w:numPr>
          <w:ilvl w:val="0"/>
          <w:numId w:val="1006"/>
        </w:numPr>
        <w:pStyle w:val="Compact"/>
      </w:pPr>
      <w:r>
        <w:t xml:space="preserve">Privacy Act 1988 (Cth) - Australia's data protection framework</w:t>
      </w:r>
    </w:p>
    <w:p>
      <w:pPr>
        <w:numPr>
          <w:ilvl w:val="0"/>
          <w:numId w:val="1006"/>
        </w:numPr>
        <w:pStyle w:val="Compact"/>
      </w:pPr>
      <w:r>
        <w:t xml:space="preserve">Australian National Statement on Ethical Conduct in Human Research (2023). National Health and Medical Research Council.</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Community Trust in Australia Sydney</dc:title>
  <dc:creator/>
  <dc:language>en</dc:language>
  <cp:keywords/>
  <dcterms:created xsi:type="dcterms:W3CDTF">2026-05-30T17:56:47Z</dcterms:created>
  <dcterms:modified xsi:type="dcterms:W3CDTF">2026-05-30T17:56:47Z</dcterms:modified>
</cp:coreProperties>
</file>

<file path=docProps/custom.xml><?xml version="1.0" encoding="utf-8"?>
<Properties xmlns="http://schemas.openxmlformats.org/officeDocument/2006/custom-properties" xmlns:vt="http://schemas.openxmlformats.org/officeDocument/2006/docPropsVTypes"/>
</file>