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Judicial</w:t>
      </w:r>
      <w:r>
        <w:t xml:space="preserve"> </w:t>
      </w:r>
      <w:r>
        <w:t xml:space="preserve">Performance</w:t>
      </w:r>
      <w:r>
        <w:t xml:space="preserve"> </w:t>
      </w:r>
      <w:r>
        <w:t xml:space="preserve">and</w:t>
      </w:r>
      <w:r>
        <w:t xml:space="preserve"> </w:t>
      </w:r>
      <w:r>
        <w:t xml:space="preserve">Institutional</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Bangladesh</w:t>
      </w:r>
      <w:r>
        <w:t xml:space="preserve"> </w:t>
      </w:r>
      <w:r>
        <w:t xml:space="preserve">Dhaka</w:t>
      </w:r>
    </w:p>
    <w:bookmarkStart w:id="29" w:name="Xa9318e600cf496d78a28464b7b626eeeb46c144"/>
    <w:p>
      <w:pPr>
        <w:pStyle w:val="Heading1"/>
      </w:pPr>
      <w:r>
        <w:t xml:space="preserve">Research Proposal: Assessing Judicial Performance and Institutional Challenges of Judges in the Context of Dhaka, Bangladesh</w:t>
      </w:r>
    </w:p>
    <w:bookmarkStart w:id="20" w:name="abstract"/>
    <w:p>
      <w:pPr>
        <w:pStyle w:val="Heading2"/>
      </w:pPr>
      <w:r>
        <w:t xml:space="preserve">Abstract</w:t>
      </w:r>
    </w:p>
    <w:p>
      <w:pPr>
        <w:pStyle w:val="FirstParagraph"/>
      </w:pPr>
      <w:r>
        <w:t xml:space="preserve">This research proposal outlines a comprehensive study examining the operational efficiency, challenges, and performance metrics of judges within the judicial system of Dhaka, Bangladesh. Focusing specifically on judges operating in Dhaka’s high-stakes legal environment—the nerve center of Bangladesh’s judiciary—the study aims to identify systemic bottlenecks affecting case disposition rates, judicial decision-making quality, and public trust. With Dhaka housing 70% of the country’s major courts and handling 35% of all national cases annually, this investigation is critical for evidence-based judicial reform in Bangladesh. The research employs mixed methods (quantitative analysis of court data and qualitative interviews with judges) to deliver actionable insights for policymakers, legal stakeholders, and civil society in Dhaka.</w:t>
      </w:r>
    </w:p>
    <w:bookmarkEnd w:id="20"/>
    <w:bookmarkStart w:id="21" w:name="introduction"/>
    <w:p>
      <w:pPr>
        <w:pStyle w:val="Heading2"/>
      </w:pPr>
      <w:r>
        <w:t xml:space="preserve">1. Introduction</w:t>
      </w:r>
    </w:p>
    <w:p>
      <w:pPr>
        <w:pStyle w:val="FirstParagraph"/>
      </w:pPr>
      <w:r>
        <w:t xml:space="preserve">The judiciary serves as the cornerstone of democratic governance in Bangladesh, yet the operational capacity of judges in Dhaka—a city grappling with severe judicial congestion—remains inadequately assessed. With over 10 million pending cases nationwide and Dhaka’s courts bearing disproportionate pressure (e.g., Dhaka Metropolitan Sessions Court processes 50,000+ cases annually), the performance of judges directly impacts citizens’ access to justice. This research proposal addresses a critical gap: while Bangladesh has expanded judicial infrastructure, there is no granular analysis of how judges in Dhaka navigate institutional constraints, resource limitations, and societal expectations. This study positions "Judge" not merely as an actor but as the pivotal node in a system where delays perpetuate inequality and erode public confidence. The geographic specificity of "Dhaka" is essential because its unique urban challenges—population density, complex socio-legal dynamics, and high-profile cases—create a microcosm reflecting broader national judicial struggles.</w:t>
      </w:r>
    </w:p>
    <w:bookmarkEnd w:id="21"/>
    <w:bookmarkStart w:id="22" w:name="research-objectives"/>
    <w:p>
      <w:pPr>
        <w:pStyle w:val="Heading2"/>
      </w:pPr>
      <w:r>
        <w:t xml:space="preserve">2. Research Objectives</w:t>
      </w:r>
    </w:p>
    <w:p>
      <w:pPr>
        <w:numPr>
          <w:ilvl w:val="0"/>
          <w:numId w:val="1001"/>
        </w:numPr>
        <w:pStyle w:val="Compact"/>
      </w:pPr>
      <w:r>
        <w:t xml:space="preserve">To quantify the average case processing time for judges across key Dhaka courts (e.g., High Court Division, District Courts) and correlate it with resource allocation (staffing, technology, infrastructure).</w:t>
      </w:r>
    </w:p>
    <w:p>
      <w:pPr>
        <w:numPr>
          <w:ilvl w:val="0"/>
          <w:numId w:val="1001"/>
        </w:numPr>
        <w:pStyle w:val="Compact"/>
      </w:pPr>
      <w:r>
        <w:t xml:space="preserve">To assess judges’ perceptions of systemic barriers—including political interference, procedural ambiguities in Bangladeshi law, and logistical constraints—through structured interviews.</w:t>
      </w:r>
    </w:p>
    <w:p>
      <w:pPr>
        <w:numPr>
          <w:ilvl w:val="0"/>
          <w:numId w:val="1001"/>
        </w:numPr>
        <w:pStyle w:val="Compact"/>
      </w:pPr>
      <w:r>
        <w:t xml:space="preserve">To evaluate the impact of judicial performance on public trust metrics in Dhaka using survey data from citizens interacting with courts.</w:t>
      </w:r>
    </w:p>
    <w:p>
      <w:pPr>
        <w:numPr>
          <w:ilvl w:val="0"/>
          <w:numId w:val="1001"/>
        </w:numPr>
        <w:pStyle w:val="Compact"/>
      </w:pPr>
      <w:r>
        <w:t xml:space="preserve">To propose context-specific interventions for enhancing judicial efficacy within Bangladesh’s Dhaka-centric legal ecosystem.</w:t>
      </w:r>
    </w:p>
    <w:bookmarkEnd w:id="22"/>
    <w:bookmarkStart w:id="23" w:name="literature-review"/>
    <w:p>
      <w:pPr>
        <w:pStyle w:val="Heading2"/>
      </w:pPr>
      <w:r>
        <w:t xml:space="preserve">3. Literature Review</w:t>
      </w:r>
    </w:p>
    <w:p>
      <w:pPr>
        <w:pStyle w:val="FirstParagraph"/>
      </w:pPr>
      <w:r>
        <w:t xml:space="preserve">Existing scholarship on Bangladesh’s judiciary (e.g., studies by the International Commission of Jurists, 2019) emphasizes systemic underfunding and case backlog but neglects Dhaka’s localized realities. A 2021 World Bank report noted that while judges in Dhaka possess higher educational qualifications than national averages, their productivity is hampered by outdated procedures and overcrowded courtrooms. Crucially, no prior research has examined how the "Judge" as a professional entity adapts to Dhaka’s unique stressors: for instance, the influx of commercial disputes due to Dhaka’s status as Bangladesh’s economic hub or the emotional toll of handling high-profile corruption cases. This proposal bridges that gap by centering "Bangladesh Dhaka" as the analytical lens, moving beyond generic national statistics to dissect urban judicial operations.</w:t>
      </w:r>
    </w:p>
    <w:bookmarkEnd w:id="23"/>
    <w:bookmarkStart w:id="24" w:name="methodology"/>
    <w:p>
      <w:pPr>
        <w:pStyle w:val="Heading2"/>
      </w:pPr>
      <w:r>
        <w:t xml:space="preserve">4. Methodology</w:t>
      </w:r>
    </w:p>
    <w:p>
      <w:pPr>
        <w:pStyle w:val="FirstParagraph"/>
      </w:pPr>
      <w:r>
        <w:t xml:space="preserve">This mixed-methods study will be conducted in two phases over 18 months, strictly within Bangladesh Dhaka:</w:t>
      </w:r>
    </w:p>
    <w:p>
      <w:pPr>
        <w:numPr>
          <w:ilvl w:val="0"/>
          <w:numId w:val="1002"/>
        </w:numPr>
        <w:pStyle w:val="Compact"/>
      </w:pPr>
      <w:r>
        <w:rPr>
          <w:bCs/>
          <w:b/>
        </w:rPr>
        <w:t xml:space="preserve">Phase 1 (Quantitative):</w:t>
      </w:r>
      <w:r>
        <w:t xml:space="preserve"> </w:t>
      </w:r>
      <w:r>
        <w:t xml:space="preserve">Analysis of anonymized court records from Dhaka’s 15 principal courts (2020–2023), tracking case timelines, judge assignments, and resolution outcomes. Data will be sourced via the Bangladesh Judicial Service Commission’s digital repository.</w:t>
      </w:r>
    </w:p>
    <w:p>
      <w:pPr>
        <w:numPr>
          <w:ilvl w:val="0"/>
          <w:numId w:val="1002"/>
        </w:numPr>
        <w:pStyle w:val="Compact"/>
      </w:pPr>
      <w:r>
        <w:rPr>
          <w:bCs/>
          <w:b/>
        </w:rPr>
        <w:t xml:space="preserve">Phase 2 (Qualitative):</w:t>
      </w:r>
      <w:r>
        <w:t xml:space="preserve"> </w:t>
      </w:r>
      <w:r>
        <w:t xml:space="preserve">Semi-structured interviews with 45 judges across Dhaka’s judicial hierarchy (including District Judges, Additional Sessions Judges, and High Court Division judges), alongside focus groups with court administrators and legal aid workers. Questionnaires will probe challenges like "How do delays in evidence collection impact your judicial decisions?"</w:t>
      </w:r>
    </w:p>
    <w:p>
      <w:pPr>
        <w:pStyle w:val="FirstParagraph"/>
      </w:pPr>
      <w:r>
        <w:t xml:space="preserve">Sampling prioritizes diversity: urban vs. suburban Dhaka courts, male/female judges (30% of Dhaka’s judiciary), and case types (criminal, civil, commercial). Ethical approval will be secured from the University of Dhaka’s Institutional Review Board.</w:t>
      </w:r>
    </w:p>
    <w:bookmarkEnd w:id="24"/>
    <w:bookmarkStart w:id="25" w:name="significance-for-bangladesh"/>
    <w:p>
      <w:pPr>
        <w:pStyle w:val="Heading2"/>
      </w:pPr>
      <w:r>
        <w:t xml:space="preserve">5. Significance for Bangladesh</w:t>
      </w:r>
    </w:p>
    <w:p>
      <w:pPr>
        <w:pStyle w:val="FirstParagraph"/>
      </w:pPr>
      <w:r>
        <w:t xml:space="preserve">This research directly serves Bangladesh’s judicial reform agenda. The country has committed to "Judicial Modernization" under its 10th Five-Year Plan (2021–2026), yet Dhaka remains a blind spot in implementation strategies. By spotlighting the daily realities of "Judge" in Bangladesh Dhaka, this proposal will provide data for:</w:t>
      </w:r>
    </w:p>
    <w:p>
      <w:pPr>
        <w:numPr>
          <w:ilvl w:val="0"/>
          <w:numId w:val="1003"/>
        </w:numPr>
        <w:pStyle w:val="Compact"/>
      </w:pPr>
      <w:r>
        <w:t xml:space="preserve">Policy reforms: Targeted resource allocation to courts with chronic backlog (e.g., adding digital evidence platforms at Dhaka District Court).</w:t>
      </w:r>
    </w:p>
    <w:p>
      <w:pPr>
        <w:numPr>
          <w:ilvl w:val="0"/>
          <w:numId w:val="1003"/>
        </w:numPr>
        <w:pStyle w:val="Compact"/>
      </w:pPr>
      <w:r>
        <w:t xml:space="preserve">Institutional training: Developing judge-specific modules on managing high-volume caseloads in urban settings.</w:t>
      </w:r>
    </w:p>
    <w:p>
      <w:pPr>
        <w:numPr>
          <w:ilvl w:val="0"/>
          <w:numId w:val="1003"/>
        </w:numPr>
        <w:pStyle w:val="Compact"/>
      </w:pPr>
      <w:r>
        <w:t xml:space="preserve">Citizen engagement: Publishing performance dashboards to rebuild public trust in Dhaka’s judiciary.</w:t>
      </w:r>
    </w:p>
    <w:p>
      <w:pPr>
        <w:pStyle w:val="FirstParagraph"/>
      </w:pPr>
      <w:r>
        <w:t xml:space="preserve">Crucially, the findings will avoid "one-size-fits-all" solutions by anchoring recommendations in Dhaka’s context—e.g., addressing traffic-induced court delays or cultural nuances affecting witness testimony in Dhaka’s diverse neighborhoods.</w:t>
      </w:r>
    </w:p>
    <w:bookmarkEnd w:id="25"/>
    <w:bookmarkStart w:id="26" w:name="expected-outcomes"/>
    <w:p>
      <w:pPr>
        <w:pStyle w:val="Heading2"/>
      </w:pPr>
      <w:r>
        <w:t xml:space="preserve">6. Expected Outcomes</w:t>
      </w:r>
    </w:p>
    <w:p>
      <w:pPr>
        <w:pStyle w:val="FirstParagraph"/>
      </w:pPr>
      <w:r>
        <w:t xml:space="preserve">We anticipate three deliverables: (1) A public report detailing performance indicators for judges across Dhaka courts; (2) A policy toolkit with 10 actionable steps for the Supreme Court of Bangladesh; and (3) An academic publication in journals like the</w:t>
      </w:r>
      <w:r>
        <w:t xml:space="preserve"> </w:t>
      </w:r>
      <w:r>
        <w:rPr>
          <w:iCs/>
          <w:i/>
        </w:rPr>
        <w:t xml:space="preserve">Asian Journal of Law and Society</w:t>
      </w:r>
      <w:r>
        <w:t xml:space="preserve">. Most significantly, this research will shift the narrative from "judicial inefficiency" to a nuanced understanding of how judges in Bangladesh Dhaka operate within constrained systems—validating their professional agency while exposing structural failures.</w:t>
      </w:r>
    </w:p>
    <w:bookmarkEnd w:id="26"/>
    <w:bookmarkStart w:id="27" w:name="conclusion"/>
    <w:p>
      <w:pPr>
        <w:pStyle w:val="Heading2"/>
      </w:pPr>
      <w:r>
        <w:t xml:space="preserve">7. Conclusion</w:t>
      </w:r>
    </w:p>
    <w:p>
      <w:pPr>
        <w:pStyle w:val="FirstParagraph"/>
      </w:pPr>
      <w:r>
        <w:t xml:space="preserve">The proposed study transcends academic inquiry; it is a pragmatic response to Bangladesh’s urgent need for a more responsive judiciary. By centering the experiences of "Judge" in the epicenter of legal activity—Dhaka, Bangladesh—we move beyond tokenistic assessments toward transformative change. This research proposal embodies accountability: ensuring that judicial reform in Bangladesh is not dictated by distant policymakers but informed by the realities faced daily by judges on Dhaka’s courtrooms. As Bangladesh advances toward a more equitable justice system, understanding the human element within Dhaka’s courts is not just relevant—it is indispensable.</w:t>
      </w:r>
    </w:p>
    <w:bookmarkEnd w:id="27"/>
    <w:bookmarkStart w:id="28" w:name="references"/>
    <w:p>
      <w:pPr>
        <w:pStyle w:val="Heading2"/>
      </w:pPr>
      <w:r>
        <w:t xml:space="preserve">References</w:t>
      </w:r>
    </w:p>
    <w:p>
      <w:pPr>
        <w:numPr>
          <w:ilvl w:val="0"/>
          <w:numId w:val="1004"/>
        </w:numPr>
        <w:pStyle w:val="Compact"/>
      </w:pPr>
      <w:r>
        <w:t xml:space="preserve">International Commission of Jurists. (2019). *Judicial Independence in Bangladesh: Challenges and Reforms*. Geneva.</w:t>
      </w:r>
    </w:p>
    <w:p>
      <w:pPr>
        <w:numPr>
          <w:ilvl w:val="0"/>
          <w:numId w:val="1004"/>
        </w:numPr>
        <w:pStyle w:val="Compact"/>
      </w:pPr>
      <w:r>
        <w:t xml:space="preserve">World Bank. (2021). *Bangladesh Justice Sector Assessment*. Washington, DC.</w:t>
      </w:r>
    </w:p>
    <w:p>
      <w:pPr>
        <w:numPr>
          <w:ilvl w:val="0"/>
          <w:numId w:val="1004"/>
        </w:numPr>
        <w:pStyle w:val="Compact"/>
      </w:pPr>
      <w:r>
        <w:t xml:space="preserve">Bangladesh Judicial Service Commission. (2023). *Annual Report on Court Efficiency Metrics*.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Judicial Performance and Institutional Challenges of Judges in Bangladesh Dhaka</dc:title>
  <dc:creator/>
  <cp:keywords/>
  <dcterms:created xsi:type="dcterms:W3CDTF">2026-07-21T14:11:28Z</dcterms:created>
  <dcterms:modified xsi:type="dcterms:W3CDTF">2026-07-21T14:11:28Z</dcterms:modified>
</cp:coreProperties>
</file>

<file path=docProps/custom.xml><?xml version="1.0" encoding="utf-8"?>
<Properties xmlns="http://schemas.openxmlformats.org/officeDocument/2006/custom-properties" xmlns:vt="http://schemas.openxmlformats.org/officeDocument/2006/docPropsVTypes"/>
</file>