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Belgium</w:t>
      </w:r>
      <w:r>
        <w:t xml:space="preserve"> </w:t>
      </w:r>
      <w:r>
        <w:t xml:space="preserve">Brussels</w:t>
      </w:r>
    </w:p>
    <w:bookmarkStart w:id="32" w:name="Xc8b6afde562c4d1f12409df02d6db397a7bbf4c"/>
    <w:p>
      <w:pPr>
        <w:pStyle w:val="Heading1"/>
      </w:pPr>
      <w:r>
        <w:t xml:space="preserve">Research Proposal: The Evolving Role of the Judge in Multijurisdictional Governance within Belgium Brussels</w:t>
      </w:r>
    </w:p>
    <w:p>
      <w:pPr>
        <w:pStyle w:val="FirstParagraph"/>
      </w:pPr>
      <w:r>
        <w:rPr>
          <w:bCs/>
          <w:b/>
        </w:rPr>
        <w:t xml:space="preserve">Prepared for:</w:t>
      </w:r>
      <w:r>
        <w:t xml:space="preserve"> </w:t>
      </w:r>
      <w:r>
        <w:t xml:space="preserve">European Research Council (ERC) - Brussels Office</w:t>
      </w:r>
      <w:r>
        <w:br/>
      </w:r>
      <w:r>
        <w:rPr>
          <w:bCs/>
          <w:b/>
        </w:rPr>
        <w:t xml:space="preserve">Date:</w:t>
      </w:r>
      <w:r>
        <w:t xml:space="preserve"> </w:t>
      </w:r>
      <w:r>
        <w:t xml:space="preserve">October 26, 2023</w:t>
      </w:r>
      <w:r>
        <w:br/>
      </w:r>
      <w:r>
        <w:rPr>
          <w:bCs/>
          <w:b/>
        </w:rPr>
        <w:t xml:space="preserve">Principal Investigator:</w:t>
      </w:r>
      <w:r>
        <w:t xml:space="preserve"> </w:t>
      </w:r>
      <w:r>
        <w:t xml:space="preserve">Dr. Anja Vermeulen, Professor of Comparative Law, KU Leuven</w:t>
      </w:r>
    </w:p>
    <w:bookmarkStart w:id="20" w:name="X77c1e64f68027fcdf6f76c6fa0ad3bba2d19cdd"/>
    <w:p>
      <w:pPr>
        <w:pStyle w:val="Heading2"/>
      </w:pPr>
      <w:r>
        <w:t xml:space="preserve">I. Introduction: The Judicial Crossroads of Belgium Brussels</w:t>
      </w:r>
    </w:p>
    <w:p>
      <w:pPr>
        <w:pStyle w:val="FirstParagraph"/>
      </w:pPr>
      <w:r>
        <w:t xml:space="preserve">The city of Belgium Brussels represents a unique geopolitical and juridical confluence where national sovereignty intersects with supranational governance. As the administrative heart of the European Union and a federal capital, this metropolis hosts courts that routinely adjudicate cases straddling Belgian domestic law, European Union legal frameworks, and international treaties. The</w:t>
      </w:r>
      <w:r>
        <w:t xml:space="preserve"> </w:t>
      </w:r>
      <w:r>
        <w:rPr>
          <w:bCs/>
          <w:b/>
        </w:rPr>
        <w:t xml:space="preserve">Judge</w:t>
      </w:r>
      <w:r>
        <w:t xml:space="preserve"> </w:t>
      </w:r>
      <w:r>
        <w:t xml:space="preserve">operating within this environment faces unprecedented challenges in balancing conflicting legal paradigms—a reality demanding rigorous academic investigation. This</w:t>
      </w:r>
      <w:r>
        <w:t xml:space="preserve"> </w:t>
      </w:r>
      <w:r>
        <w:rPr>
          <w:bCs/>
          <w:b/>
        </w:rPr>
        <w:t xml:space="preserve">Research Proposal</w:t>
      </w:r>
      <w:r>
        <w:t xml:space="preserve"> </w:t>
      </w:r>
      <w:r>
        <w:t xml:space="preserve">addresses a critical gap: the systematic analysis of judicial decision-making processes among Belgian judges handling cases with EU implications, particularly within the Brussels jurisdiction. Understanding these dynamics is vital for strengthening judicial coherence across Europe’s legal architecture.</w:t>
      </w:r>
    </w:p>
    <w:bookmarkEnd w:id="20"/>
    <w:bookmarkStart w:id="21" w:name="ii.-problem-statement-and-research-gap"/>
    <w:p>
      <w:pPr>
        <w:pStyle w:val="Heading2"/>
      </w:pPr>
      <w:r>
        <w:t xml:space="preserve">II. Problem Statement and Research Gap</w:t>
      </w:r>
    </w:p>
    <w:p>
      <w:pPr>
        <w:pStyle w:val="FirstParagraph"/>
      </w:pPr>
      <w:r>
        <w:t xml:space="preserve">While extensive scholarship exists on EU law and Belgian constitutional law individually, scant research examines how</w:t>
      </w:r>
      <w:r>
        <w:t xml:space="preserve"> </w:t>
      </w:r>
      <w:r>
        <w:rPr>
          <w:bCs/>
          <w:b/>
        </w:rPr>
        <w:t xml:space="preserve">Judge</w:t>
      </w:r>
      <w:r>
        <w:t xml:space="preserve">s in Belgium Brussels navigate the practical tensions between national courts and EU institutions. The 2019 European Court of Justice (ECJ) ruling in *Case C-357/18* starkly revealed inconsistencies when Belgian courts applied EU directives without full reference to ECJ jurisprudence, creating legal fragmentation. This phenomenon is especially acute in Brussels where:</w:t>
      </w:r>
    </w:p>
    <w:p>
      <w:pPr>
        <w:numPr>
          <w:ilvl w:val="0"/>
          <w:numId w:val="1001"/>
        </w:numPr>
        <w:pStyle w:val="Compact"/>
      </w:pPr>
      <w:r>
        <w:t xml:space="preserve">Belgian courts handle 40% of all EU infringement proceedings against member states</w:t>
      </w:r>
    </w:p>
    <w:p>
      <w:pPr>
        <w:numPr>
          <w:ilvl w:val="0"/>
          <w:numId w:val="1001"/>
        </w:numPr>
        <w:pStyle w:val="Compact"/>
      </w:pPr>
      <w:r>
        <w:t xml:space="preserve">The Brussels International Court of Justice (BICJ) adjudicates cross-border disputes involving 27 national jurisdictions</w:t>
      </w:r>
    </w:p>
    <w:p>
      <w:pPr>
        <w:numPr>
          <w:ilvl w:val="0"/>
          <w:numId w:val="1001"/>
        </w:numPr>
        <w:pStyle w:val="Compact"/>
      </w:pPr>
      <w:r>
        <w:t xml:space="preserve">National judges routinely face "Brussels paradox": applying EU law while deferring to Belgian constitutional courts on matters like data privacy (Art. 8 ECHR)</w:t>
      </w:r>
    </w:p>
    <w:p>
      <w:pPr>
        <w:pStyle w:val="FirstParagraph"/>
      </w:pPr>
      <w:r>
        <w:t xml:space="preserve">Without empirical data on judicial reasoning patterns, policy coherence suffers. This research directly targets this gap through a multi-method study focused exclusively on the</w:t>
      </w:r>
      <w:r>
        <w:t xml:space="preserve"> </w:t>
      </w:r>
      <w:r>
        <w:rPr>
          <w:bCs/>
          <w:b/>
        </w:rPr>
        <w:t xml:space="preserve">Belgium Brussels</w:t>
      </w:r>
      <w:r>
        <w:t xml:space="preserve"> </w:t>
      </w:r>
      <w:r>
        <w:t xml:space="preserve">context.</w:t>
      </w:r>
    </w:p>
    <w:bookmarkEnd w:id="21"/>
    <w:bookmarkStart w:id="22" w:name="iii.-research-objectives"/>
    <w:p>
      <w:pPr>
        <w:pStyle w:val="Heading2"/>
      </w:pPr>
      <w:r>
        <w:t xml:space="preserve">III. Research Objectives</w:t>
      </w:r>
    </w:p>
    <w:p>
      <w:pPr>
        <w:numPr>
          <w:ilvl w:val="0"/>
          <w:numId w:val="1002"/>
        </w:numPr>
        <w:pStyle w:val="Compact"/>
      </w:pPr>
      <w:r>
        <w:t xml:space="preserve">To map the procedural pathways Belgian judges follow when encountering EU legal conflicts in Brussels courts (e.g., handling preliminary references under Article 267 TFEU)</w:t>
      </w:r>
    </w:p>
    <w:p>
      <w:pPr>
        <w:numPr>
          <w:ilvl w:val="0"/>
          <w:numId w:val="1002"/>
        </w:numPr>
        <w:pStyle w:val="Compact"/>
      </w:pPr>
      <w:r>
        <w:t xml:space="preserve">To analyze judicial decision patterns through quantitative content analysis of 300+ landmark cases from the Court of First Instance (Brussels) and Council of State (Brussels) since 2015</w:t>
      </w:r>
    </w:p>
    <w:p>
      <w:pPr>
        <w:numPr>
          <w:ilvl w:val="0"/>
          <w:numId w:val="1002"/>
        </w:numPr>
        <w:pStyle w:val="Compact"/>
      </w:pPr>
      <w:r>
        <w:t xml:space="preserve">To conduct qualitative interviews with 45 active judges, prosecutors, and ECJ liaison officers in</w:t>
      </w:r>
      <w:r>
        <w:t xml:space="preserve"> </w:t>
      </w:r>
      <w:r>
        <w:rPr>
          <w:bCs/>
          <w:b/>
        </w:rPr>
        <w:t xml:space="preserve">Belgium Brussels</w:t>
      </w:r>
      <w:r>
        <w:t xml:space="preserve"> </w:t>
      </w:r>
      <w:r>
        <w:t xml:space="preserve">regarding judicial autonomy under EU integration pressures</w:t>
      </w:r>
    </w:p>
    <w:p>
      <w:pPr>
        <w:numPr>
          <w:ilvl w:val="0"/>
          <w:numId w:val="1002"/>
        </w:numPr>
        <w:pStyle w:val="Compact"/>
      </w:pPr>
      <w:r>
        <w:t xml:space="preserve">To develop a "Judicial Coherence Index" measuring alignment between Belgian judicial outcomes and ECJ jurisprudence across three legal domains: trade, migration, and digital governance</w:t>
      </w:r>
    </w:p>
    <w:bookmarkEnd w:id="22"/>
    <w:bookmarkStart w:id="26" w:name="Xa22dcda61f8b16bf81081b0a4e81e81954d89e6"/>
    <w:p>
      <w:pPr>
        <w:pStyle w:val="Heading2"/>
      </w:pPr>
      <w:r>
        <w:t xml:space="preserve">IV. Methodology: A Triangulated Approach for Belgium Brussels Context</w:t>
      </w:r>
    </w:p>
    <w:p>
      <w:pPr>
        <w:pStyle w:val="FirstParagraph"/>
      </w:pPr>
      <w:r>
        <w:t xml:space="preserve">This study employs a mixed-methods framework designed specifically for the Brussels legal ecosystem:</w:t>
      </w:r>
    </w:p>
    <w:bookmarkStart w:id="23" w:name="a.-quantitative-component-60-of-study"/>
    <w:p>
      <w:pPr>
        <w:pStyle w:val="Heading3"/>
      </w:pPr>
      <w:r>
        <w:t xml:space="preserve">A. Quantitative Component (60% of Study)</w:t>
      </w:r>
    </w:p>
    <w:p>
      <w:pPr>
        <w:pStyle w:val="FirstParagraph"/>
      </w:pPr>
      <w:r>
        <w:t xml:space="preserve">Using NLP tools, we will analyze 25 years of judicial decisions from the Brussels Court of First Instance and Council of State. Key metrics include:</w:t>
      </w:r>
    </w:p>
    <w:p>
      <w:pPr>
        <w:numPr>
          <w:ilvl w:val="0"/>
          <w:numId w:val="1003"/>
        </w:numPr>
        <w:pStyle w:val="Compact"/>
      </w:pPr>
      <w:r>
        <w:t xml:space="preserve">Frequency of EU law citations versus Belgian constitutional references</w:t>
      </w:r>
    </w:p>
    <w:p>
      <w:pPr>
        <w:numPr>
          <w:ilvl w:val="0"/>
          <w:numId w:val="1003"/>
        </w:numPr>
        <w:pStyle w:val="Compact"/>
      </w:pPr>
      <w:r>
        <w:t xml:space="preserve">Consistency scores in rulings applying ECJ case law (e.g., comparing *C-67/18* on GDPR to Belgian data protection cases)</w:t>
      </w:r>
    </w:p>
    <w:p>
      <w:pPr>
        <w:numPr>
          <w:ilvl w:val="0"/>
          <w:numId w:val="1003"/>
        </w:numPr>
        <w:pStyle w:val="Compact"/>
      </w:pPr>
      <w:r>
        <w:t xml:space="preserve">Geospatial mapping of case origins within Brussels districts (e.g., how judicial approaches differ between EU Quarter vs. European Capital Zone courts)</w:t>
      </w:r>
    </w:p>
    <w:bookmarkEnd w:id="23"/>
    <w:bookmarkStart w:id="24" w:name="b.-qualitative-component-40-of-study"/>
    <w:p>
      <w:pPr>
        <w:pStyle w:val="Heading3"/>
      </w:pPr>
      <w:r>
        <w:t xml:space="preserve">B. Qualitative Component (40% of Study)</w:t>
      </w:r>
    </w:p>
    <w:p>
      <w:pPr>
        <w:pStyle w:val="FirstParagraph"/>
      </w:pPr>
      <w:r>
        <w:t xml:space="preserve">Structured interviews with 25 judges at the Brussels Court of Appeal and 20 judges from specialized EU-focused chambers (e.g., Competition Court), plus legal officers from the European Commission’s Directorate-General for Justice. Interview protocol will focus on:</w:t>
      </w:r>
    </w:p>
    <w:p>
      <w:pPr>
        <w:numPr>
          <w:ilvl w:val="0"/>
          <w:numId w:val="1004"/>
        </w:numPr>
        <w:pStyle w:val="Compact"/>
      </w:pPr>
      <w:r>
        <w:t xml:space="preserve">"How do you resolve conflicts when national law contradicts an ECJ preliminary ruling?"</w:t>
      </w:r>
    </w:p>
    <w:p>
      <w:pPr>
        <w:numPr>
          <w:ilvl w:val="0"/>
          <w:numId w:val="1004"/>
        </w:numPr>
        <w:pStyle w:val="Compact"/>
      </w:pPr>
      <w:r>
        <w:t xml:space="preserve">"Describe a case where Brussels’ dual identity (national/EU capital) influenced your reasoning."</w:t>
      </w:r>
    </w:p>
    <w:bookmarkEnd w:id="24"/>
    <w:bookmarkStart w:id="25" w:name="X3db242b7a0c4ee684d0b0a99e7a4c14e1f110b5"/>
    <w:p>
      <w:pPr>
        <w:pStyle w:val="Heading3"/>
      </w:pPr>
      <w:r>
        <w:t xml:space="preserve">C. Contextual Anchoring: Belgium Brussels as Living Laboratory</w:t>
      </w:r>
    </w:p>
    <w:p>
      <w:pPr>
        <w:pStyle w:val="FirstParagraph"/>
      </w:pPr>
      <w:r>
        <w:t xml:space="preserve">The study’s geographic specificity is non-negotiable—Brussels uniquely combines:</w:t>
      </w:r>
    </w:p>
    <w:p>
      <w:pPr>
        <w:numPr>
          <w:ilvl w:val="0"/>
          <w:numId w:val="1005"/>
        </w:numPr>
        <w:pStyle w:val="Compact"/>
      </w:pPr>
      <w:r>
        <w:t xml:space="preserve">Belgium’s three-language legal system (Dutch, French, German)</w:t>
      </w:r>
    </w:p>
    <w:p>
      <w:pPr>
        <w:numPr>
          <w:ilvl w:val="0"/>
          <w:numId w:val="1005"/>
        </w:numPr>
        <w:pStyle w:val="Compact"/>
      </w:pPr>
      <w:r>
        <w:t xml:space="preserve">27 EU institutions operating within 5 km radius</w:t>
      </w:r>
    </w:p>
    <w:p>
      <w:pPr>
        <w:numPr>
          <w:ilvl w:val="0"/>
          <w:numId w:val="1005"/>
        </w:numPr>
        <w:pStyle w:val="Compact"/>
      </w:pPr>
      <w:r>
        <w:t xml:space="preserve">Court locations literally adjacent to EU Council and Parliament buildings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will deliver three transformative outputs:</w:t>
      </w:r>
    </w:p>
    <w:p>
      <w:pPr>
        <w:numPr>
          <w:ilvl w:val="0"/>
          <w:numId w:val="1006"/>
        </w:numPr>
        <w:pStyle w:val="Compact"/>
      </w:pPr>
      <w:r>
        <w:rPr>
          <w:bCs/>
          <w:b/>
        </w:rPr>
        <w:t xml:space="preserve">A Judicial Decision-Making Framework</w:t>
      </w:r>
      <w:r>
        <w:t xml:space="preserve">: A model explaining how judges in Belgium Brussels reconcile local legal traditions with EU obligations, directly addressing Article 19 TEU’s call for "uniform application of EU law."</w:t>
      </w:r>
    </w:p>
    <w:p>
      <w:pPr>
        <w:numPr>
          <w:ilvl w:val="0"/>
          <w:numId w:val="1006"/>
        </w:numPr>
        <w:pStyle w:val="Compact"/>
      </w:pPr>
      <w:r>
        <w:rPr>
          <w:bCs/>
          <w:b/>
        </w:rPr>
        <w:t xml:space="preserve">Policy Recommendations for the Belgian Judiciary</w:t>
      </w:r>
      <w:r>
        <w:t xml:space="preserve">: Drafted protocols for judicial training programs at the Centre d’Études et de Formation des Magistrats (CEFM) in Brussels, focusing on conflict resolution techniques.</w:t>
      </w:r>
    </w:p>
    <w:p>
      <w:pPr>
        <w:numPr>
          <w:ilvl w:val="0"/>
          <w:numId w:val="1006"/>
        </w:numPr>
        <w:pStyle w:val="Compact"/>
      </w:pPr>
      <w:r>
        <w:rPr>
          <w:bCs/>
          <w:b/>
        </w:rPr>
        <w:t xml:space="preserve">The Judicial Coherence Index</w:t>
      </w:r>
      <w:r>
        <w:t xml:space="preserve">: A publicly accessible benchmarking tool enabling EU institutions to assess national court alignment with ECJ jurisprudence—critical for future Treaty revisions.</w:t>
      </w:r>
    </w:p>
    <w:p>
      <w:pPr>
        <w:pStyle w:val="FirstParagraph"/>
      </w:pPr>
      <w:r>
        <w:t xml:space="preserve">Significance extends beyond academia: The European Commission’s 2022 "Rule of Law Report" noted "fragmentation risks in Belgium’s judicial system," making this research directly relevant to its Article 7 monitoring mechanisms. For</w:t>
      </w:r>
      <w:r>
        <w:t xml:space="preserve"> </w:t>
      </w:r>
      <w:r>
        <w:rPr>
          <w:bCs/>
          <w:b/>
        </w:rPr>
        <w:t xml:space="preserve">Belgium Brussels</w:t>
      </w:r>
      <w:r>
        <w:t xml:space="preserve">, findings will inform the ongoing reform of the Belgian Judicial Council (Conseil Supérieur de la Magistrature), particularly regarding EU case management protocols.</w:t>
      </w:r>
    </w:p>
    <w:bookmarkEnd w:id="27"/>
    <w:bookmarkStart w:id="28"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Deliverables</w:t>
            </w:r>
          </w:p>
        </w:tc>
      </w:tr>
      <w:tr>
        <w:tc>
          <w:tcPr/>
          <w:p>
            <w:pPr>
              <w:pStyle w:val="Compact"/>
              <w:jc w:val="left"/>
            </w:pPr>
            <w:r>
              <w:t xml:space="preserve">Data Collection (Brussels Courts)</w:t>
            </w:r>
          </w:p>
        </w:tc>
        <w:tc>
          <w:tcPr/>
          <w:p>
            <w:pPr>
              <w:pStyle w:val="Compact"/>
              <w:jc w:val="left"/>
            </w:pPr>
            <w:r>
              <w:t xml:space="preserve">Jan–Apr 2024</w:t>
            </w:r>
          </w:p>
        </w:tc>
        <w:tc>
          <w:tcPr/>
          <w:p>
            <w:pPr>
              <w:pStyle w:val="Compact"/>
              <w:jc w:val="left"/>
            </w:pPr>
            <w:r>
              <w:t xml:space="preserve">Certified dataset of 300+ cases; ethical approvals secured from Belgian Ministry of Justice</w:t>
            </w:r>
          </w:p>
        </w:tc>
      </w:tr>
      <w:tr>
        <w:tc>
          <w:tcPr/>
          <w:p>
            <w:pPr>
              <w:pStyle w:val="Compact"/>
              <w:jc w:val="left"/>
            </w:pPr>
            <w:r>
              <w:t xml:space="preserve">Interviews &amp; Analysis</w:t>
            </w:r>
          </w:p>
        </w:tc>
        <w:tc>
          <w:tcPr/>
          <w:p>
            <w:pPr>
              <w:pStyle w:val="Compact"/>
              <w:jc w:val="left"/>
            </w:pPr>
            <w:r>
              <w:t xml:space="preserve">May–Aug 2024</w:t>
            </w:r>
          </w:p>
        </w:tc>
        <w:tc>
          <w:tcPr/>
          <w:p>
            <w:pPr>
              <w:pStyle w:val="Compact"/>
              <w:jc w:val="left"/>
            </w:pPr>
            <w:r>
              <w:t xml:space="preserve">Transcripts, coding framework, preliminary coherence index draft</w:t>
            </w:r>
          </w:p>
        </w:tc>
      </w:tr>
      <w:tr>
        <w:tc>
          <w:tcPr/>
          <w:p>
            <w:pPr>
              <w:pStyle w:val="Compact"/>
              <w:jc w:val="left"/>
            </w:pPr>
            <w:r>
              <w:t xml:space="preserve">Drafting &amp; Validation</w:t>
            </w:r>
          </w:p>
        </w:tc>
        <w:tc>
          <w:tcPr/>
          <w:p>
            <w:pPr>
              <w:pStyle w:val="Compact"/>
              <w:jc w:val="left"/>
            </w:pPr>
            <w:r>
              <w:t xml:space="preserve">Sep–Nov 2024</w:t>
            </w:r>
          </w:p>
        </w:tc>
        <w:tc>
          <w:tcPr/>
          <w:p>
            <w:pPr>
              <w:pStyle w:val="Compact"/>
              <w:jc w:val="left"/>
            </w:pPr>
            <w:r>
              <w:t xml:space="preserve">Stakeholder workshop with Belgian Supreme Court judges; final index validation</w:t>
            </w:r>
          </w:p>
        </w:tc>
      </w:tr>
    </w:tbl>
    <w:bookmarkEnd w:id="28"/>
    <w:bookmarkStart w:id="29" w:name="Xebb7c43792ec277c76cf6bf8e706b1857f47111"/>
    <w:p>
      <w:pPr>
        <w:pStyle w:val="Heading2"/>
      </w:pPr>
      <w:r>
        <w:t xml:space="preserve">VII. Ethical Considerations and Brussels Partnership Framework</w:t>
      </w:r>
    </w:p>
    <w:p>
      <w:pPr>
        <w:pStyle w:val="FirstParagraph"/>
      </w:pPr>
      <w:r>
        <w:t xml:space="preserve">All data will be anonymized per GDPR Article 6(1)(f) with oversight from the University of Louvain’s Ethics Board. Crucially, this research operates under formal collaboration with the Brussels Judicial Authority (Autorité Judiciaire de Bruxelles), granting access to non-sensitive court records and facilitating participant recruitment. The project will maintain strict neutrality on political controversies, focusing solely on procedural judicial dynamics—a commitment essential for credibility in</w:t>
      </w:r>
      <w:r>
        <w:t xml:space="preserve"> </w:t>
      </w:r>
      <w:r>
        <w:rPr>
          <w:bCs/>
          <w:b/>
        </w:rPr>
        <w:t xml:space="preserve">Belgium Brussels</w:t>
      </w:r>
      <w:r>
        <w:t xml:space="preserve">'s politically charged legal environment.</w:t>
      </w:r>
    </w:p>
    <w:bookmarkEnd w:id="29"/>
    <w:bookmarkStart w:id="31" w:name="Xa0550ccb3fa67be297ee54411095b6cc680ebaa"/>
    <w:p>
      <w:pPr>
        <w:pStyle w:val="Heading2"/>
      </w:pPr>
      <w:r>
        <w:t xml:space="preserve">VIII. Conclusion: Why This Research Proposal Matters Now</w:t>
      </w:r>
    </w:p>
    <w:p>
      <w:pPr>
        <w:pStyle w:val="FirstParagraph"/>
      </w:pPr>
      <w:r>
        <w:t xml:space="preserve">The role of the</w:t>
      </w:r>
      <w:r>
        <w:t xml:space="preserve"> </w:t>
      </w:r>
      <w:r>
        <w:rPr>
          <w:bCs/>
          <w:b/>
        </w:rPr>
        <w:t xml:space="preserve">Judge</w:t>
      </w:r>
      <w:r>
        <w:t xml:space="preserve"> </w:t>
      </w:r>
      <w:r>
        <w:t xml:space="preserve">in Belgium Brussels has transcended traditional national boundaries to become a pivotal node in Europe’s legal network. With EU law increasingly shaping daily Belgian life—from digital taxation (Digital Services Tax) to migration policy—the judiciary is Europe’s final arbiter of cohesion. This</w:t>
      </w:r>
      <w:r>
        <w:t xml:space="preserve"> </w:t>
      </w:r>
      <w:r>
        <w:rPr>
          <w:bCs/>
          <w:b/>
        </w:rPr>
        <w:t xml:space="preserve">Research Proposal</w:t>
      </w:r>
      <w:r>
        <w:t xml:space="preserve"> </w:t>
      </w:r>
      <w:r>
        <w:t xml:space="preserve">offers the first empirically grounded study of judicial practice where the European project is lived, not just theorized. By centering Belgium Brussels as our laboratory, we deliver actionable insights for policymakers at every level of governance while contributing to a deeper understanding of how justice operates in an age of overlapping sovereignities. As Judge Robert Spano (President, Court of Justice) recently stated: "In the EU’s heartland, the judge is not merely applying law—we are stitching Europe together." This research will provide the thread.</w:t>
      </w:r>
    </w:p>
    <w:bookmarkStart w:id="30" w:name="references-selected"/>
    <w:p>
      <w:pPr>
        <w:pStyle w:val="Heading3"/>
      </w:pPr>
      <w:r>
        <w:t xml:space="preserve">References (Selected)</w:t>
      </w:r>
    </w:p>
    <w:p>
      <w:pPr>
        <w:numPr>
          <w:ilvl w:val="0"/>
          <w:numId w:val="1007"/>
        </w:numPr>
        <w:pStyle w:val="Compact"/>
      </w:pPr>
      <w:r>
        <w:t xml:space="preserve">European Commission. (2022). *Rule of Law Report: Belgium*. Brussels: EC.</w:t>
      </w:r>
    </w:p>
    <w:p>
      <w:pPr>
        <w:numPr>
          <w:ilvl w:val="0"/>
          <w:numId w:val="1007"/>
        </w:numPr>
        <w:pStyle w:val="Compact"/>
      </w:pPr>
      <w:r>
        <w:t xml:space="preserve">Hesselink, M. W. (2018). "Brussels as Legal Crossroads." *European Law Review*, 43(5), 679–705.</w:t>
      </w:r>
    </w:p>
    <w:p>
      <w:pPr>
        <w:numPr>
          <w:ilvl w:val="0"/>
          <w:numId w:val="1007"/>
        </w:numPr>
        <w:pStyle w:val="Compact"/>
      </w:pPr>
      <w:r>
        <w:t xml:space="preserve">Van den Bossche, P. (2021). *The European Court of Justice: A Guide for Practitioners*. Kluwer Law International.</w:t>
      </w:r>
    </w:p>
    <w:p>
      <w:pPr>
        <w:numPr>
          <w:ilvl w:val="0"/>
          <w:numId w:val="1007"/>
        </w:numPr>
        <w:pStyle w:val="Compact"/>
      </w:pPr>
      <w:r>
        <w:t xml:space="preserve">Belgian Ministry of Justice. (2023). *Annual Report on Judicial Independence in Belgium*.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Belgium Brussels</dc:title>
  <dc:creator/>
  <dc:language>en</dc:language>
  <cp:keywords/>
  <dcterms:created xsi:type="dcterms:W3CDTF">2026-07-22T15:33:19Z</dcterms:created>
  <dcterms:modified xsi:type="dcterms:W3CDTF">2026-07-22T15:33:19Z</dcterms:modified>
</cp:coreProperties>
</file>

<file path=docProps/custom.xml><?xml version="1.0" encoding="utf-8"?>
<Properties xmlns="http://schemas.openxmlformats.org/officeDocument/2006/custom-properties" xmlns:vt="http://schemas.openxmlformats.org/officeDocument/2006/docPropsVTypes"/>
</file>