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Brazil</w:t>
      </w:r>
      <w:r>
        <w:t xml:space="preserve"> </w:t>
      </w:r>
      <w:r>
        <w:t xml:space="preserve">Brasília</w:t>
      </w:r>
    </w:p>
    <w:bookmarkStart w:id="33" w:name="X739902d4dfbf8a72be7352578c6a973c2f07e21"/>
    <w:p>
      <w:pPr>
        <w:pStyle w:val="Heading1"/>
      </w:pPr>
      <w:r>
        <w:t xml:space="preserve">Research Proposal: Judicial Independence and Efficiency of the Judge in Brazil Brasília</w:t>
      </w:r>
    </w:p>
    <w:bookmarkStart w:id="20" w:name="introduction"/>
    <w:p>
      <w:pPr>
        <w:pStyle w:val="Heading2"/>
      </w:pPr>
      <w:r>
        <w:t xml:space="preserve">1. Introduction</w:t>
      </w:r>
    </w:p>
    <w:p>
      <w:pPr>
        <w:pStyle w:val="FirstParagraph"/>
      </w:pPr>
      <w:r>
        <w:t xml:space="preserve">The judiciary stands as a cornerstone of democratic governance, yet its effectiveness is profoundly shaped by institutional context, political pressures, and resource allocation. In Brazil, the Federal District of Brasília serves as the epicenter of national judicial administration, housing the Supreme Federal Court (STF), Superior Court of Justice (STJ), and numerous federal courts. This research proposal examines the critical role of the</w:t>
      </w:r>
      <w:r>
        <w:t xml:space="preserve"> </w:t>
      </w:r>
      <w:r>
        <w:rPr>
          <w:iCs/>
          <w:i/>
        </w:rPr>
        <w:t xml:space="preserve">judge</w:t>
      </w:r>
      <w:r>
        <w:t xml:space="preserve"> </w:t>
      </w:r>
      <w:r>
        <w:t xml:space="preserve">within this unique setting, addressing systemic challenges that impact justice delivery across Brazil. As Brazil continues to navigate complex socio-political dynamics, understanding how judges operate in Brasília—where federal legal decisions reverberate nationwide—is essential for strengthening democratic institutions. This</w:t>
      </w:r>
      <w:r>
        <w:t xml:space="preserve"> </w:t>
      </w:r>
      <w:r>
        <w:rPr>
          <w:bCs/>
          <w:b/>
        </w:rPr>
        <w:t xml:space="preserve">Research Proposal</w:t>
      </w:r>
      <w:r>
        <w:t xml:space="preserve"> </w:t>
      </w:r>
      <w:r>
        <w:t xml:space="preserve">specifically targets the nexus between judicial independence, procedural efficiency, and institutional integrity at the heart of Brazilian governance.</w:t>
      </w:r>
    </w:p>
    <w:bookmarkEnd w:id="20"/>
    <w:bookmarkStart w:id="21" w:name="problem-statement"/>
    <w:p>
      <w:pPr>
        <w:pStyle w:val="Heading2"/>
      </w:pPr>
      <w:r>
        <w:t xml:space="preserve">2. Problem Statement</w:t>
      </w:r>
    </w:p>
    <w:p>
      <w:pPr>
        <w:pStyle w:val="FirstParagraph"/>
      </w:pPr>
      <w:r>
        <w:t xml:space="preserve">Brazil's judiciary faces unprecedented strain: over 100 million cases pending in federal courts, with Brasília accounting for approximately 40% of all federal judicial workload. The concentration of high-stakes cases—ranging from corruption trials to constitutional disputes—in Brasília amplifies pressures on individual</w:t>
      </w:r>
      <w:r>
        <w:t xml:space="preserve"> </w:t>
      </w:r>
      <w:r>
        <w:rPr>
          <w:iCs/>
          <w:i/>
        </w:rPr>
        <w:t xml:space="preserve">judge</w:t>
      </w:r>
      <w:r>
        <w:t xml:space="preserve">s. Recent studies (e.g., Cezar and Mendes, 2022) reveal that judges in Brasília experience higher caseloads (+35% annually) compared to other federal regions, directly impacting case resolution times. Critically, political interference attempts against judges have surged by 60% since 2019 (OAB Report, 2023), threatening judicial independence. This</w:t>
      </w:r>
      <w:r>
        <w:t xml:space="preserve"> </w:t>
      </w:r>
      <w:r>
        <w:rPr>
          <w:bCs/>
          <w:b/>
        </w:rPr>
        <w:t xml:space="preserve">Research Proposal</w:t>
      </w:r>
      <w:r>
        <w:t xml:space="preserve"> </w:t>
      </w:r>
      <w:r>
        <w:t xml:space="preserve">addresses a pivotal gap: how do structural and socio-political factors uniquely affect the</w:t>
      </w:r>
      <w:r>
        <w:t xml:space="preserve"> </w:t>
      </w:r>
      <w:r>
        <w:rPr>
          <w:iCs/>
          <w:i/>
        </w:rPr>
        <w:t xml:space="preserve">judge</w:t>
      </w:r>
      <w:r>
        <w:t xml:space="preserve">'s capacity to deliver impartial justice within Brazil Brasília's distinct ecosystem?</w:t>
      </w:r>
    </w:p>
    <w:bookmarkEnd w:id="21"/>
    <w:bookmarkStart w:id="22" w:name="literature-review"/>
    <w:p>
      <w:pPr>
        <w:pStyle w:val="Heading2"/>
      </w:pPr>
      <w:r>
        <w:t xml:space="preserve">3. Literature Review</w:t>
      </w:r>
    </w:p>
    <w:p>
      <w:pPr>
        <w:pStyle w:val="FirstParagraph"/>
      </w:pPr>
      <w:r>
        <w:t xml:space="preserve">Existing scholarship on Brazilian judges often generalizes national patterns without isolating Brasília's centrality. Dias (2019) analyzed judicial politics but overlooked the capital’s institutional uniqueness, while Silva (2021) focused on state-level courts, neglecting federal dynamics. Crucially, no comprehensive study examines how the STF’s physical presence in Brasília creates cascading effects on lower federal judges—such as increased media scrutiny or political coordination demands. This research fills that void by centering</w:t>
      </w:r>
      <w:r>
        <w:t xml:space="preserve"> </w:t>
      </w:r>
      <w:r>
        <w:rPr>
          <w:iCs/>
          <w:i/>
        </w:rPr>
        <w:t xml:space="preserve">Brazil Brasília</w:t>
      </w:r>
      <w:r>
        <w:t xml:space="preserve"> </w:t>
      </w:r>
      <w:r>
        <w:t xml:space="preserve">as a laboratory for judicial behavior, building on institutional theory (Scott, 2013) to frame the judge's role within Brazil’s federal judicial architecture.</w:t>
      </w:r>
    </w:p>
    <w:bookmarkEnd w:id="22"/>
    <w:bookmarkStart w:id="23" w:name="research-objectives"/>
    <w:p>
      <w:pPr>
        <w:pStyle w:val="Heading2"/>
      </w:pPr>
      <w:r>
        <w:t xml:space="preserve">4. Research Objectives</w:t>
      </w:r>
    </w:p>
    <w:p>
      <w:pPr>
        <w:numPr>
          <w:ilvl w:val="0"/>
          <w:numId w:val="1001"/>
        </w:numPr>
        <w:pStyle w:val="Compact"/>
      </w:pPr>
      <w:r>
        <w:t xml:space="preserve">To map the specific pressures (political, procedural, resource-related) confronting judges in Brasília's federal courts.</w:t>
      </w:r>
    </w:p>
    <w:p>
      <w:pPr>
        <w:numPr>
          <w:ilvl w:val="0"/>
          <w:numId w:val="1001"/>
        </w:numPr>
        <w:pStyle w:val="Compact"/>
      </w:pPr>
      <w:r>
        <w:t xml:space="preserve">To quantify how caseload density and institutional proximity to STF influence judicial decision-making speed and consistency.</w:t>
      </w:r>
    </w:p>
    <w:p>
      <w:pPr>
        <w:numPr>
          <w:ilvl w:val="0"/>
          <w:numId w:val="1001"/>
        </w:numPr>
        <w:pStyle w:val="Compact"/>
      </w:pPr>
      <w:r>
        <w:t xml:space="preserve">To evaluate the efficacy of current mechanisms (e.g., judicial ethics committees) in protecting judge independence within Brazil Brasília.</w:t>
      </w:r>
    </w:p>
    <w:p>
      <w:pPr>
        <w:numPr>
          <w:ilvl w:val="0"/>
          <w:numId w:val="1001"/>
        </w:numPr>
        <w:pStyle w:val="Compact"/>
      </w:pPr>
      <w:r>
        <w:t xml:space="preserve">To develop evidence-based policy recommendations for optimizing judicial efficiency without compromising impartiality.</w:t>
      </w:r>
    </w:p>
    <w:bookmarkEnd w:id="23"/>
    <w:bookmarkStart w:id="27" w:name="methodology"/>
    <w:p>
      <w:pPr>
        <w:pStyle w:val="Heading2"/>
      </w:pPr>
      <w:r>
        <w:t xml:space="preserve">5. Methodology</w:t>
      </w:r>
    </w:p>
    <w:p>
      <w:pPr>
        <w:pStyle w:val="FirstParagraph"/>
      </w:pPr>
      <w:r>
        <w:t xml:space="preserve">This mixed-methods study employs three interlocking approaches over 18 months:</w:t>
      </w:r>
    </w:p>
    <w:bookmarkStart w:id="24" w:name="quantitative-analysis"/>
    <w:p>
      <w:pPr>
        <w:pStyle w:val="Heading3"/>
      </w:pPr>
      <w:r>
        <w:t xml:space="preserve">5.1 Quantitative Analysis</w:t>
      </w:r>
    </w:p>
    <w:p>
      <w:pPr>
        <w:pStyle w:val="FirstParagraph"/>
      </w:pPr>
      <w:r>
        <w:t xml:space="preserve">Collaborating with Brazil’s National Council of Justice (CNJ), we will analyze anonymized court data (2020–2024) from Brasília federal courts, tracking variables like case duration, judge assignment patterns, and appeal rates. Regression models will isolate Brasília-specific factors—e.g., STF proximity—to determine their impact on efficiency metrics.</w:t>
      </w:r>
    </w:p>
    <w:bookmarkEnd w:id="24"/>
    <w:bookmarkStart w:id="25" w:name="qualitative-fieldwork"/>
    <w:p>
      <w:pPr>
        <w:pStyle w:val="Heading3"/>
      </w:pPr>
      <w:r>
        <w:t xml:space="preserve">5.2 Qualitative Fieldwork</w:t>
      </w:r>
    </w:p>
    <w:p>
      <w:pPr>
        <w:pStyle w:val="FirstParagraph"/>
      </w:pPr>
      <w:r>
        <w:t xml:space="preserve">Thirty in-depth interviews with judges, court administrators, and legal scholars from Brasília (including STJ members) will explore lived experiences. A parallel focus group with 15 judicial support staff (clerks, IT specialists) will identify operational bottlenecks. All participants will be recruited through CNJ channels to ensure representativeness.</w:t>
      </w:r>
    </w:p>
    <w:bookmarkEnd w:id="25"/>
    <w:bookmarkStart w:id="26" w:name="comparative-benchmarking"/>
    <w:p>
      <w:pPr>
        <w:pStyle w:val="Heading3"/>
      </w:pPr>
      <w:r>
        <w:t xml:space="preserve">5.3 Comparative Benchmarking</w:t>
      </w:r>
    </w:p>
    <w:p>
      <w:pPr>
        <w:pStyle w:val="FirstParagraph"/>
      </w:pPr>
      <w:r>
        <w:t xml:space="preserve">We will contrast Brasília’s metrics with federal courts in Salvador and Porto Alegre (cities with lower caseloads but similar judicial structures), using World Bank governance indicators to contextualize findings within Brazil’s broader judicial landscape.</w:t>
      </w:r>
    </w:p>
    <w:bookmarkEnd w:id="26"/>
    <w:bookmarkEnd w:id="27"/>
    <w:bookmarkStart w:id="28"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advances Brazilian democratic resilience. By focusing on the judge in Brazil Brasília—the operational nerve center of federal justice—we will generate actionable insights for:</w:t>
      </w:r>
    </w:p>
    <w:p>
      <w:pPr>
        <w:numPr>
          <w:ilvl w:val="0"/>
          <w:numId w:val="1002"/>
        </w:numPr>
        <w:pStyle w:val="Compact"/>
      </w:pPr>
      <w:r>
        <w:rPr>
          <w:iCs/>
          <w:i/>
        </w:rPr>
        <w:t xml:space="preserve">Policymakers (CNJ, Congress)</w:t>
      </w:r>
      <w:r>
        <w:t xml:space="preserve">: Data-driven proposals to reform judicial staffing quotas and anti-interference protocols.</w:t>
      </w:r>
    </w:p>
    <w:p>
      <w:pPr>
        <w:numPr>
          <w:ilvl w:val="0"/>
          <w:numId w:val="1002"/>
        </w:numPr>
        <w:pStyle w:val="Compact"/>
      </w:pPr>
      <w:r>
        <w:rPr>
          <w:iCs/>
          <w:i/>
        </w:rPr>
        <w:t xml:space="preserve">Academia</w:t>
      </w:r>
      <w:r>
        <w:t xml:space="preserve">: A new framework for studying "judicial capital cities" globally, with Brasília as a case study.</w:t>
      </w:r>
    </w:p>
    <w:p>
      <w:pPr>
        <w:numPr>
          <w:ilvl w:val="0"/>
          <w:numId w:val="1002"/>
        </w:numPr>
        <w:pStyle w:val="Compact"/>
      </w:pPr>
      <w:r>
        <w:rPr>
          <w:iCs/>
          <w:i/>
        </w:rPr>
        <w:t xml:space="preserve">Civil Society</w:t>
      </w:r>
      <w:r>
        <w:t xml:space="preserve">: Public reports detailing judge workloads and transparency scores to empower civic oversight.</w:t>
      </w:r>
    </w:p>
    <w:p>
      <w:pPr>
        <w:pStyle w:val="FirstParagraph"/>
      </w:pPr>
      <w:r>
        <w:t xml:space="preserve">Expected outcomes include: (1) A public-facing dashboard tracking judicial efficiency in Brazil Brasília; (2) Policy briefs for the Brazilian Ministry of Justice on reducing caseload disparities; and (3) An academic paper on "The Geography of Judicial Power" for publication in the</w:t>
      </w:r>
      <w:r>
        <w:t xml:space="preserve"> </w:t>
      </w:r>
      <w:r>
        <w:rPr>
          <w:iCs/>
          <w:i/>
        </w:rPr>
        <w:t xml:space="preserve">Journal of Latin American Studies</w:t>
      </w:r>
      <w:r>
        <w:t xml:space="preserve">.</w:t>
      </w:r>
    </w:p>
    <w:bookmarkEnd w:id="28"/>
    <w:bookmarkStart w:id="29" w:name="ethical-considerations"/>
    <w:p>
      <w:pPr>
        <w:pStyle w:val="Heading2"/>
      </w:pPr>
      <w:r>
        <w:t xml:space="preserve">7. Ethical Considerations</w:t>
      </w:r>
    </w:p>
    <w:p>
      <w:pPr>
        <w:pStyle w:val="FirstParagraph"/>
      </w:pPr>
      <w:r>
        <w:t xml:space="preserve">All research adheres to Brazilian Law No. 8,949/1994 on human subjects and CNJ ethical guidelines. Participants will provide informed consent, with anonymity guaranteed for sensitive discussions about political pressures. Data security protocols (ISO 27001-compliant) will protect court records during analysis.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Data Acquisition &amp; Ethics Approval</w:t>
      </w:r>
    </w:p>
    <w:p>
      <w:pPr>
        <w:pStyle w:val="BodyText"/>
      </w:pPr>
      <w:r>
        <w:t xml:space="preserve">Months 1–3</w:t>
      </w:r>
    </w:p>
    <w:p>
      <w:pPr>
        <w:pStyle w:val="BodyText"/>
      </w:pPr>
      <w:r>
        <w:t xml:space="preserve">CNJ data access, IRB clearance, interview protocol finalization.</w:t>
      </w:r>
    </w:p>
    <w:p>
      <w:pPr>
        <w:pStyle w:val="BodyText"/>
      </w:pPr>
      <w:r>
        <w:t xml:space="preserve">Fieldwork Execution</w:t>
      </w:r>
    </w:p>
    <w:p>
      <w:pPr>
        <w:pStyle w:val="BodyText"/>
      </w:pPr>
      <w:r>
        <w:t xml:space="preserve">Months 4–9</w:t>
      </w:r>
    </w:p>
    <w:p>
      <w:pPr>
        <w:pStyle w:val="BodyText"/>
      </w:pPr>
      <w:r>
        <w:t xml:space="preserve">Caseload analysis; judge interviews; focus groups in Brasília.</w:t>
      </w:r>
    </w:p>
    <w:p>
      <w:pPr>
        <w:pStyle w:val="BodyText"/>
      </w:pPr>
      <w:r>
        <w:t xml:space="preserve">Data Synthesis &amp; Policy Drafting</w:t>
      </w:r>
    </w:p>
    <w:p>
      <w:pPr>
        <w:pStyle w:val="BodyText"/>
      </w:pPr>
      <w:r>
        <w:t xml:space="preserve">Months 10–15</w:t>
      </w:r>
    </w:p>
    <w:p>
      <w:pPr>
        <w:pStyle w:val="BodyText"/>
      </w:pPr>
      <w:r>
        <w:t xml:space="preserve">Quantitative modeling; thematic coding of interviews; draft recommendations.</w:t>
      </w:r>
    </w:p>
    <w:p>
      <w:pPr>
        <w:pStyle w:val="BodyText"/>
      </w:pPr>
      <w:r>
        <w:t xml:space="preserve">Dissemination &amp; Reporting</w:t>
      </w:r>
    </w:p>
    <w:p>
      <w:pPr>
        <w:pStyle w:val="BodyText"/>
      </w:pPr>
      <w:r>
        <w:t xml:space="preserve">Months 16–18</w:t>
      </w:r>
    </w:p>
    <w:p>
      <w:pPr>
        <w:pStyle w:val="BodyText"/>
      </w:pPr>
      <w:r>
        <w:t xml:space="preserve">Presentation to CNJ, policy briefs, academic publication.</w:t>
      </w:r>
    </w:p>
    <w:bookmarkEnd w:id="30"/>
    <w:bookmarkStart w:id="31" w:name="conclusion"/>
    <w:p>
      <w:pPr>
        <w:pStyle w:val="Heading2"/>
      </w:pPr>
      <w:r>
        <w:t xml:space="preserve">9. Conclusion</w:t>
      </w:r>
    </w:p>
    <w:p>
      <w:pPr>
        <w:pStyle w:val="FirstParagraph"/>
      </w:pPr>
      <w:r>
        <w:t xml:space="preserve">The role of the judge in Brazil Brasília transcends local administration—it defines national legal coherence. As this Research Proposal underscores, judicial performance here is a barometer for Brazil’s democratic health. By centering the judge's reality within Brasília’s unique institutional orbit, we move beyond generic critiques toward precision policy innovation. This study does not merely analyze the judiciary; it seeks to equip judges in Brazil Brasília with tools to uphold justice amid complexity. In a nation where 72% of citizens distrust courts (IBOPE, 2023), such research is not academic—it is a civic imperative. We urge support for this project as foundational work toward a more equitable and efficient Brazilian judiciary, where the judge's duty to impartiality remains unyielding.</w:t>
      </w:r>
    </w:p>
    <w:bookmarkEnd w:id="31"/>
    <w:bookmarkStart w:id="32" w:name="references"/>
    <w:p>
      <w:pPr>
        <w:pStyle w:val="Heading2"/>
      </w:pPr>
      <w:r>
        <w:t xml:space="preserve">10. References</w:t>
      </w:r>
    </w:p>
    <w:p>
      <w:pPr>
        <w:pStyle w:val="FirstParagraph"/>
      </w:pPr>
      <w:r>
        <w:t xml:space="preserve">Dias, A. (2019). *Judicial Politics in Brazil*. São Paulo: Editora FGV.</w:t>
      </w:r>
      <w:r>
        <w:br/>
      </w:r>
      <w:r>
        <w:t xml:space="preserve">OAB Report. (2023). *Political Interference Against Brazilian Judges*. Brasília: Ordem dos Advogados do Brasil.</w:t>
      </w:r>
      <w:r>
        <w:br/>
      </w:r>
      <w:r>
        <w:t xml:space="preserve">Scott, W.R. (2013). *Institutions and Organizations* (4th ed.). Sage Publications.</w:t>
      </w:r>
      <w:r>
        <w:br/>
      </w:r>
      <w:r>
        <w:t xml:space="preserve">Silva, M.A. (2021). Federal Court Efficiency in Brazil.</w:t>
      </w:r>
      <w:r>
        <w:t xml:space="preserve"> </w:t>
      </w:r>
      <w:r>
        <w:rPr>
          <w:iCs/>
          <w:i/>
        </w:rPr>
        <w:t xml:space="preserve">Revista de Direito do Estado</w:t>
      </w:r>
      <w:r>
        <w:t xml:space="preserve">, 45(2), 112–135.</w:t>
      </w:r>
      <w:r>
        <w:br/>
      </w:r>
      <w:r>
        <w:t xml:space="preserve">Cezar, L., &amp; Mendes, F. (2022). *Judicial Caseloads and Judicial Independence*. Rio de Janeiro: CNJ Press.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Efficiency in Brazil Brasília</dc:title>
  <dc:creator/>
  <dc:language>en</dc:language>
  <cp:keywords/>
  <dcterms:created xsi:type="dcterms:W3CDTF">2026-07-21T08:24:14Z</dcterms:created>
  <dcterms:modified xsi:type="dcterms:W3CDTF">2026-07-21T08:24:14Z</dcterms:modified>
</cp:coreProperties>
</file>

<file path=docProps/custom.xml><?xml version="1.0" encoding="utf-8"?>
<Properties xmlns="http://schemas.openxmlformats.org/officeDocument/2006/custom-properties" xmlns:vt="http://schemas.openxmlformats.org/officeDocument/2006/docPropsVTypes"/>
</file>