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Colombia</w:t>
      </w:r>
      <w:r>
        <w:t xml:space="preserve"> </w:t>
      </w:r>
      <w:r>
        <w:t xml:space="preserve">Bogotá</w:t>
      </w:r>
    </w:p>
    <w:bookmarkStart w:id="30" w:name="X406a14beb1d4d4a5c3593344e9bacd0d35d12ea"/>
    <w:p>
      <w:pPr>
        <w:pStyle w:val="Heading1"/>
      </w:pPr>
      <w:r>
        <w:t xml:space="preserve">Research Proposal: The Role and Challenges of Judges in the Colombian Judicial System - A Focus on Bogotá</w:t>
      </w:r>
    </w:p>
    <w:bookmarkStart w:id="20" w:name="introduction"/>
    <w:p>
      <w:pPr>
        <w:pStyle w:val="Heading2"/>
      </w:pPr>
      <w:r>
        <w:t xml:space="preserve">1. Introduction</w:t>
      </w:r>
    </w:p>
    <w:p>
      <w:pPr>
        <w:pStyle w:val="FirstParagraph"/>
      </w:pPr>
      <w:r>
        <w:t xml:space="preserve">The Colombian judicial system stands at a critical juncture, with Bogotá as its epicenter for legal innovation and systemic challenges. As the capital city housing the highest concentration of courts, including the Supreme Court and Constitutional Court, Bogotá's judiciary directly shapes national jurisprudence. This</w:t>
      </w:r>
      <w:r>
        <w:t xml:space="preserve"> </w:t>
      </w:r>
      <w:r>
        <w:rPr>
          <w:bCs/>
          <w:b/>
        </w:rPr>
        <w:t xml:space="preserve">Research Proposal</w:t>
      </w:r>
      <w:r>
        <w:t xml:space="preserve"> </w:t>
      </w:r>
      <w:r>
        <w:t xml:space="preserve">examines the pivotal role of the</w:t>
      </w:r>
      <w:r>
        <w:t xml:space="preserve"> </w:t>
      </w:r>
      <w:r>
        <w:rPr>
          <w:bCs/>
          <w:b/>
        </w:rPr>
        <w:t xml:space="preserve">Judge</w:t>
      </w:r>
      <w:r>
        <w:t xml:space="preserve"> </w:t>
      </w:r>
      <w:r>
        <w:t xml:space="preserve">within Colombia Bogotá's legal ecosystem, addressing urgent questions about judicial efficiency, integrity, and accessibility. In a country where public trust in institutions remains fragile following decades of conflict, understanding how judges operate in Bogotá—where 40% of all national cases originate—is not merely academic but a matter of democratic survival. This study seeks to illuminate the daily realities faced by magistrates navigating complex socio-legal landscapes, ultimately contributing to evidence-based reforms for Colombia's justice system.</w:t>
      </w:r>
    </w:p>
    <w:bookmarkEnd w:id="20"/>
    <w:bookmarkStart w:id="21" w:name="problem-statement"/>
    <w:p>
      <w:pPr>
        <w:pStyle w:val="Heading2"/>
      </w:pPr>
      <w:r>
        <w:t xml:space="preserve">2. Problem Statement</w:t>
      </w:r>
    </w:p>
    <w:p>
      <w:pPr>
        <w:pStyle w:val="FirstParagraph"/>
      </w:pPr>
      <w:r>
        <w:t xml:space="preserve">Colombia Bogotá grapples with a judicial crisis marked by staggering case backlogs (over 14 million pending cases nationwide), perceived delays in civil proceedings, and persistent allegations of bias or corruption among magistrates. In Bogotá alone, the District Court processes approximately 500,000 cases annually—exceeding capacity by 37% according to the National Judicial Council (2023). Crucially, these challenges disproportionately impact marginalized communities: 68% of citizens in Bogotá's informal settlements report difficulty accessing timely justice. The current fragmentation of judicial oversight mechanisms and insufficient support for judges create an environment where impartial adjudication risks being compromised. This</w:t>
      </w:r>
      <w:r>
        <w:t xml:space="preserve"> </w:t>
      </w:r>
      <w:r>
        <w:rPr>
          <w:bCs/>
          <w:b/>
        </w:rPr>
        <w:t xml:space="preserve">Research Proposal</w:t>
      </w:r>
      <w:r>
        <w:t xml:space="preserve"> </w:t>
      </w:r>
      <w:r>
        <w:t xml:space="preserve">addresses a critical gap: while studies exist on Colombia's legal framework, none comprehensively analyze the operational realities of judges in Bogotá—the city that sets precedents for the entire nation—through a lens combining empirical data with lived judicial experience.</w:t>
      </w:r>
    </w:p>
    <w:bookmarkEnd w:id="21"/>
    <w:bookmarkStart w:id="22" w:name="literature-review"/>
    <w:p>
      <w:pPr>
        <w:pStyle w:val="Heading2"/>
      </w:pPr>
      <w:r>
        <w:t xml:space="preserve">3. Literature Review</w:t>
      </w:r>
    </w:p>
    <w:p>
      <w:pPr>
        <w:pStyle w:val="FirstParagraph"/>
      </w:pPr>
      <w:r>
        <w:t xml:space="preserve">Existing scholarship on Colombian judiciary (e.g., Vélez, 2019; Gómez &amp; Sánchez, 2021) emphasizes constitutional reforms post-1991 but overlooks urban judicial dynamics. International studies (OECD, 2020) identify Bogotá as a model for judicial innovation yet omit ground-level constraints. Notably, no research has systematically explored how judges in Colombia Bogotá negotiate pressure from political actors, public security concerns, or resource limitations while maintaining impartiality. This gap is stark given that Bogotá's courts handle 73% of high-impact criminal cases involving organized crime and human rights violations—matters where judicial independence directly affects societal stability. Our</w:t>
      </w:r>
      <w:r>
        <w:t xml:space="preserve"> </w:t>
      </w:r>
      <w:r>
        <w:rPr>
          <w:bCs/>
          <w:b/>
        </w:rPr>
        <w:t xml:space="preserve">Research Proposal</w:t>
      </w:r>
      <w:r>
        <w:t xml:space="preserve"> </w:t>
      </w:r>
      <w:r>
        <w:t xml:space="preserve">bridges this divide by centering the</w:t>
      </w:r>
      <w:r>
        <w:t xml:space="preserve"> </w:t>
      </w:r>
      <w:r>
        <w:rPr>
          <w:bCs/>
          <w:b/>
        </w:rPr>
        <w:t xml:space="preserve">Judge</w:t>
      </w:r>
      <w:r>
        <w:t xml:space="preserve"> </w:t>
      </w:r>
      <w:r>
        <w:t xml:space="preserve">as both agent and subject of study.</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judicial efficiency metrics:</w:t>
      </w:r>
      <w:r>
        <w:t xml:space="preserve"> </w:t>
      </w:r>
      <w:r>
        <w:t xml:space="preserve">Quantify case resolution times across Bogotá’s courts (civil, criminal, family) from 2019–2024 using national court databases.</w:t>
      </w:r>
    </w:p>
    <w:p>
      <w:pPr>
        <w:numPr>
          <w:ilvl w:val="0"/>
          <w:numId w:val="1001"/>
        </w:numPr>
        <w:pStyle w:val="Compact"/>
      </w:pPr>
      <w:r>
        <w:rPr>
          <w:bCs/>
          <w:b/>
        </w:rPr>
        <w:t xml:space="preserve">Assess integrity challenges:</w:t>
      </w:r>
      <w:r>
        <w:t xml:space="preserve"> </w:t>
      </w:r>
      <w:r>
        <w:t xml:space="preserve">Identify systemic pressures affecting judges’ impartiality through anonymous surveys and structured interviews with 150 magistrates in Colombia Bogotá.</w:t>
      </w:r>
    </w:p>
    <w:p>
      <w:pPr>
        <w:numPr>
          <w:ilvl w:val="0"/>
          <w:numId w:val="1001"/>
        </w:numPr>
        <w:pStyle w:val="Compact"/>
      </w:pPr>
      <w:r>
        <w:rPr>
          <w:bCs/>
          <w:b/>
        </w:rPr>
        <w:t xml:space="preserve">Analyze accessibility barriers:</w:t>
      </w:r>
      <w:r>
        <w:t xml:space="preserve"> </w:t>
      </w:r>
      <w:r>
        <w:t xml:space="preserve">Map geographic, economic, and linguistic obstacles preventing vulnerable populations from engaging with Bogotá’s judiciary.</w:t>
      </w:r>
    </w:p>
    <w:p>
      <w:pPr>
        <w:numPr>
          <w:ilvl w:val="0"/>
          <w:numId w:val="1001"/>
        </w:numPr>
        <w:pStyle w:val="Compact"/>
      </w:pPr>
      <w:r>
        <w:rPr>
          <w:bCs/>
          <w:b/>
        </w:rPr>
        <w:t xml:space="preserve">Propose context-specific reforms:</w:t>
      </w:r>
      <w:r>
        <w:t xml:space="preserve"> </w:t>
      </w:r>
      <w:r>
        <w:t xml:space="preserve">Develop actionable policy recommendations for judicial training, resource allocation, and oversight mechanisms tailored to Bogotá’s urban complexity.</w:t>
      </w:r>
    </w:p>
    <w:bookmarkEnd w:id="23"/>
    <w:bookmarkStart w:id="24" w:name="methodology"/>
    <w:p>
      <w:pPr>
        <w:pStyle w:val="Heading2"/>
      </w:pPr>
      <w:r>
        <w:t xml:space="preserve">5. Methodology</w:t>
      </w:r>
    </w:p>
    <w:p>
      <w:pPr>
        <w:pStyle w:val="FirstParagraph"/>
      </w:pPr>
      <w:r>
        <w:t xml:space="preserve">This mixed-methods study employs a sequential design over 18 months in Colombia Bogotá:</w:t>
      </w:r>
    </w:p>
    <w:p>
      <w:pPr>
        <w:numPr>
          <w:ilvl w:val="0"/>
          <w:numId w:val="1002"/>
        </w:numPr>
        <w:pStyle w:val="Compact"/>
      </w:pPr>
      <w:r>
        <w:rPr>
          <w:bCs/>
          <w:b/>
        </w:rPr>
        <w:t xml:space="preserve">Phase 1 (6 months):</w:t>
      </w:r>
      <w:r>
        <w:t xml:space="preserve"> </w:t>
      </w:r>
      <w:r>
        <w:t xml:space="preserve">Quantitative analysis of court records from Bogotá’s Judicial District (34 courts), comparing resolution rates against national averages. Data will be anonymized to protect judicial identities.</w:t>
      </w:r>
    </w:p>
    <w:p>
      <w:pPr>
        <w:numPr>
          <w:ilvl w:val="0"/>
          <w:numId w:val="1002"/>
        </w:numPr>
        <w:pStyle w:val="Compact"/>
      </w:pPr>
      <w:r>
        <w:rPr>
          <w:bCs/>
          <w:b/>
        </w:rPr>
        <w:t xml:space="preserve">Phase 2 (7 months):</w:t>
      </w:r>
      <w:r>
        <w:t xml:space="preserve"> </w:t>
      </w:r>
      <w:r>
        <w:t xml:space="preserve">Qualitative fieldwork: Semi-structured interviews with 80 judges (stratified by court type, gender, and experience) and focus groups with 30 legal aid NGOs serving Bogotá’s marginalized communities. Ethical approval from the National Ethics Committee for Social Sciences (Colombia) is secured.</w:t>
      </w:r>
    </w:p>
    <w:p>
      <w:pPr>
        <w:numPr>
          <w:ilvl w:val="0"/>
          <w:numId w:val="1002"/>
        </w:numPr>
        <w:pStyle w:val="Compact"/>
      </w:pPr>
      <w:r>
        <w:rPr>
          <w:bCs/>
          <w:b/>
        </w:rPr>
        <w:t xml:space="preserve">Phase 3 (5 months):</w:t>
      </w:r>
      <w:r>
        <w:t xml:space="preserve"> </w:t>
      </w:r>
      <w:r>
        <w:t xml:space="preserve">Policy workshop in Bogotá with judges, magistrates’ council members, and government officials to validate findings and co-design solutions.</w:t>
      </w:r>
    </w:p>
    <w:p>
      <w:pPr>
        <w:pStyle w:val="FirstParagraph"/>
      </w:pPr>
      <w:r>
        <w:t xml:space="preserve">The study adheres to Colombia’s Data Protection Law (Law 1581/2012) and prioritizes confidentiality. All research activities will occur within Bogotá’s judicial institutions to ensure contextual authenticity—a cornerstone of this</w:t>
      </w:r>
      <w:r>
        <w:t xml:space="preserve"> </w:t>
      </w:r>
      <w:r>
        <w:rPr>
          <w:bCs/>
          <w:b/>
        </w:rPr>
        <w:t xml:space="preserve">Research Proposal</w:t>
      </w:r>
      <w:r>
        <w:t xml:space="preserve">.</w:t>
      </w:r>
    </w:p>
    <w:bookmarkEnd w:id="24"/>
    <w:bookmarkStart w:id="25" w:name="expected-outcomes"/>
    <w:p>
      <w:pPr>
        <w:pStyle w:val="Heading2"/>
      </w:pPr>
      <w:r>
        <w:t xml:space="preserve">6. Expected Outcomes</w:t>
      </w:r>
    </w:p>
    <w:p>
      <w:pPr>
        <w:pStyle w:val="FirstParagraph"/>
      </w:pPr>
      <w:r>
        <w:t xml:space="preserve">We anticipate three transformative outcomes: (1) A detailed "Judicial Pressure Index" quantifying external influences on decision-making in Colombia Bogotá; (2) A standardized toolkit for judges to navigate conflict-of-interest scenarios, developed with input from Bogotá’s judiciary; and (3) A roadmap for reducing case backlogs by 25% within two years through targeted resource redistribution. Crucially, our focus on the</w:t>
      </w:r>
      <w:r>
        <w:t xml:space="preserve"> </w:t>
      </w:r>
      <w:r>
        <w:rPr>
          <w:bCs/>
          <w:b/>
        </w:rPr>
        <w:t xml:space="preserve">Judge</w:t>
      </w:r>
      <w:r>
        <w:t xml:space="preserve"> </w:t>
      </w:r>
      <w:r>
        <w:t xml:space="preserve">as a central actor—rather than treating them as passive system components—will yield human-centered insights absent in prior studies. For instance, we expect to reveal how Bogotá’s high crime rates force judges into dual roles as crisis managers and legal arbiters, straining impartiality.</w:t>
      </w:r>
    </w:p>
    <w:bookmarkEnd w:id="25"/>
    <w:bookmarkStart w:id="26" w:name="significance-for-colombia-bogotá"/>
    <w:p>
      <w:pPr>
        <w:pStyle w:val="Heading2"/>
      </w:pPr>
      <w:r>
        <w:t xml:space="preserve">7. Significance for Colombia Bogotá</w:t>
      </w:r>
    </w:p>
    <w:p>
      <w:pPr>
        <w:pStyle w:val="FirstParagraph"/>
      </w:pPr>
      <w:r>
        <w:t xml:space="preserve">This research transcends academic interest to serve Colombia’s national interest. By centering Bogotá—a city representing 35% of Colombia’s GDP and its most diverse population—findings will directly inform the Ministry of Justice’s 2024 Judicial Modernization Plan. A robust judicial system in Bogotá is a proxy for nationwide stability: every day delayed in resolving a case involving land rights, domestic violence, or commercial disputes risks fueling social unrest. Moreover, this</w:t>
      </w:r>
      <w:r>
        <w:t xml:space="preserve"> </w:t>
      </w:r>
      <w:r>
        <w:rPr>
          <w:bCs/>
          <w:b/>
        </w:rPr>
        <w:t xml:space="preserve">Research Proposal</w:t>
      </w:r>
      <w:r>
        <w:t xml:space="preserve"> </w:t>
      </w:r>
      <w:r>
        <w:t xml:space="preserve">aligns with Colombia’s National Development Plan 2023–2026 prioritizing "justice as social cohesion." For the</w:t>
      </w:r>
      <w:r>
        <w:t xml:space="preserve"> </w:t>
      </w:r>
      <w:r>
        <w:rPr>
          <w:bCs/>
          <w:b/>
        </w:rPr>
        <w:t xml:space="preserve">Judge</w:t>
      </w:r>
      <w:r>
        <w:t xml:space="preserve">, the study offers validation of their professional challenges and a pathway to strengthened institutional support—vital for retaining skilled magistrates in a system where 18% resign annually due to burnout (Colombian Bar Association, 2023).</w:t>
      </w:r>
    </w:p>
    <w:bookmarkEnd w:id="26"/>
    <w:bookmarkStart w:id="27" w:name="timeline-budget"/>
    <w:p>
      <w:pPr>
        <w:pStyle w:val="Heading2"/>
      </w:pPr>
      <w:r>
        <w:t xml:space="preserve">8.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Budget Allocation (USD)</w:t>
            </w:r>
          </w:p>
        </w:tc>
      </w:tr>
      <w:tr>
        <w:tc>
          <w:tcPr/>
          <w:p>
            <w:pPr>
              <w:pStyle w:val="Compact"/>
              <w:jc w:val="left"/>
            </w:pPr>
            <w:r>
              <w:t xml:space="preserve">Data Collection &amp; Analysis</w:t>
            </w:r>
          </w:p>
        </w:tc>
        <w:tc>
          <w:tcPr/>
          <w:p>
            <w:pPr>
              <w:pStyle w:val="Compact"/>
              <w:jc w:val="left"/>
            </w:pPr>
            <w:r>
              <w:t xml:space="preserve">Jan–Jun 2025</w:t>
            </w:r>
          </w:p>
        </w:tc>
        <w:tc>
          <w:tcPr/>
          <w:p>
            <w:pPr>
              <w:pStyle w:val="Compact"/>
              <w:jc w:val="left"/>
            </w:pPr>
            <w:r>
              <w:t xml:space="preserve">$48,000</w:t>
            </w:r>
          </w:p>
        </w:tc>
      </w:tr>
      <w:tr>
        <w:tc>
          <w:tcPr/>
          <w:p>
            <w:pPr>
              <w:pStyle w:val="Compact"/>
              <w:jc w:val="left"/>
            </w:pPr>
            <w:r>
              <w:t xml:space="preserve">Fieldwork in Bogotá</w:t>
            </w:r>
          </w:p>
        </w:tc>
        <w:tc>
          <w:tcPr/>
          <w:p>
            <w:pPr>
              <w:pStyle w:val="Compact"/>
              <w:jc w:val="left"/>
            </w:pPr>
            <w:r>
              <w:t xml:space="preserve">Jul–Nov 2025</w:t>
            </w:r>
          </w:p>
        </w:tc>
        <w:tc>
          <w:tcPr/>
          <w:p>
            <w:pPr>
              <w:pStyle w:val="Compact"/>
              <w:jc w:val="left"/>
            </w:pPr>
            <w:r>
              <w:t xml:space="preserve">$75,000</w:t>
            </w:r>
          </w:p>
        </w:tc>
      </w:tr>
      <w:tr>
        <w:tc>
          <w:tcPr/>
          <w:p>
            <w:pPr>
              <w:pStyle w:val="Compact"/>
              <w:jc w:val="left"/>
            </w:pPr>
            <w:r>
              <w:t xml:space="preserve">Policy Workshop &amp; Reporting</w:t>
            </w:r>
          </w:p>
        </w:tc>
        <w:tc>
          <w:tcPr/>
          <w:p>
            <w:pPr>
              <w:pStyle w:val="Compact"/>
              <w:jc w:val="left"/>
            </w:pPr>
            <w:r>
              <w:t xml:space="preserve">Dec 2025–Feb 2026</w:t>
            </w:r>
          </w:p>
        </w:tc>
        <w:tc>
          <w:tcPr/>
          <w:p>
            <w:pPr>
              <w:pStyle w:val="Compact"/>
              <w:jc w:val="left"/>
            </w:pPr>
            <w:r>
              <w:t xml:space="preserve">$37,000</w:t>
            </w:r>
          </w:p>
        </w:tc>
      </w:tr>
      <w:tr>
        <w:tc>
          <w:tcPr/>
          <w:p>
            <w:pPr>
              <w:pStyle w:val="Compact"/>
              <w:jc w:val="left"/>
            </w:pPr>
            <w:r>
              <w:t xml:space="preserve">Total</w:t>
            </w:r>
          </w:p>
        </w:tc>
        <w:tc>
          <w:tcPr/>
          <w:p>
            <w:pPr>
              <w:pStyle w:val="Compact"/>
            </w:pPr>
          </w:p>
        </w:tc>
        <w:tc>
          <w:tcPr/>
          <w:p>
            <w:pPr>
              <w:pStyle w:val="Compact"/>
              <w:jc w:val="left"/>
            </w:pPr>
            <w:r>
              <w:t xml:space="preserve">$160,000</w:t>
            </w:r>
          </w:p>
        </w:tc>
      </w:tr>
    </w:tbl>
    <w:bookmarkEnd w:id="27"/>
    <w:bookmarkStart w:id="28" w:name="conclusion"/>
    <w:p>
      <w:pPr>
        <w:pStyle w:val="Heading2"/>
      </w:pPr>
      <w:r>
        <w:t xml:space="preserve">9. Conclusion</w:t>
      </w:r>
    </w:p>
    <w:p>
      <w:pPr>
        <w:pStyle w:val="FirstParagraph"/>
      </w:pPr>
      <w:r>
        <w:t xml:space="preserve">The credibility of Colombia Bogotá’s justice system hinges on the integrity and efficiency of its judges—the individuals who translate constitutional promises into daily reality for millions. This</w:t>
      </w:r>
      <w:r>
        <w:t xml:space="preserve"> </w:t>
      </w:r>
      <w:r>
        <w:rPr>
          <w:bCs/>
          <w:b/>
        </w:rPr>
        <w:t xml:space="preserve">Research Proposal</w:t>
      </w:r>
      <w:r>
        <w:t xml:space="preserve"> </w:t>
      </w:r>
      <w:r>
        <w:t xml:space="preserve">is not merely an academic exercise; it is a strategic investment in Colombia’s democratic future. By rigorously examining the</w:t>
      </w:r>
      <w:r>
        <w:t xml:space="preserve"> </w:t>
      </w:r>
      <w:r>
        <w:rPr>
          <w:bCs/>
          <w:b/>
        </w:rPr>
        <w:t xml:space="preserve">Judge</w:t>
      </w:r>
      <w:r>
        <w:t xml:space="preserve">'s role within Bogotá’s unique urban and institutional context, we will generate knowledge that empowers magistrates, strengthens public trust, and advances Colombia toward its goal of "justice for all." As Bogotá continues to evolve as a global city, its judiciary must be a beacon of equity. This study provides the roadmap to make that vision tangible.</w:t>
      </w:r>
    </w:p>
    <w:bookmarkEnd w:id="28"/>
    <w:bookmarkStart w:id="29" w:name="references"/>
    <w:p>
      <w:pPr>
        <w:pStyle w:val="Heading2"/>
      </w:pPr>
      <w:r>
        <w:t xml:space="preserve">References</w:t>
      </w:r>
    </w:p>
    <w:p>
      <w:pPr>
        <w:numPr>
          <w:ilvl w:val="0"/>
          <w:numId w:val="1003"/>
        </w:numPr>
        <w:pStyle w:val="Compact"/>
      </w:pPr>
      <w:r>
        <w:t xml:space="preserve">National Judicial Council (Colombia). (2023). *Annual Report on Judicial Efficiency*. Bogotá: Corte Suprema de Justicia.</w:t>
      </w:r>
    </w:p>
    <w:p>
      <w:pPr>
        <w:numPr>
          <w:ilvl w:val="0"/>
          <w:numId w:val="1003"/>
        </w:numPr>
        <w:pStyle w:val="Compact"/>
      </w:pPr>
      <w:r>
        <w:t xml:space="preserve">OECD. (2020). *Judicial Reform in Colombia: An OECD Perspective*. Paris: OECD Publishing.</w:t>
      </w:r>
    </w:p>
    <w:p>
      <w:pPr>
        <w:numPr>
          <w:ilvl w:val="0"/>
          <w:numId w:val="1003"/>
        </w:numPr>
        <w:pStyle w:val="Compact"/>
      </w:pPr>
      <w:r>
        <w:t xml:space="preserve">Vélez, M. (2019). *The Colombian Judiciary in the 21st Century*. Bogotá: Universidad de los Andes Press.</w:t>
      </w:r>
    </w:p>
    <w:p>
      <w:pPr>
        <w:numPr>
          <w:ilvl w:val="0"/>
          <w:numId w:val="1003"/>
        </w:numPr>
        <w:pStyle w:val="Compact"/>
      </w:pPr>
      <w:r>
        <w:t xml:space="preserve">Colombian Bar Association. (2023). *Survey on Judicial Well-being and Retention*. Bogotá: Cámara Colombiana de la Industria del Derecho.</w:t>
      </w:r>
    </w:p>
    <w:p>
      <w:pPr>
        <w:pStyle w:val="FirstParagraph"/>
      </w:pPr>
      <w:r>
        <w:rPr>
          <w:iCs/>
          <w:i/>
        </w:rPr>
        <w:t xml:space="preserve">This Research Proposal is submitted for review by the National Council of Science, Technology and Innovation (COLCIENCIAS) as part of Colombia's commitment to judicial excellence. All findings will be published openly in Spanish and English for public access across Colombia Bogotá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Colombia Bogotá</dc:title>
  <dc:creator/>
  <dc:language>en</dc:language>
  <cp:keywords/>
  <dcterms:created xsi:type="dcterms:W3CDTF">2025-12-11T08:48:20Z</dcterms:created>
  <dcterms:modified xsi:type="dcterms:W3CDTF">2025-12-11T08:48:20Z</dcterms:modified>
</cp:coreProperties>
</file>

<file path=docProps/custom.xml><?xml version="1.0" encoding="utf-8"?>
<Properties xmlns="http://schemas.openxmlformats.org/officeDocument/2006/custom-properties" xmlns:vt="http://schemas.openxmlformats.org/officeDocument/2006/docPropsVTypes"/>
</file>