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France</w:t>
      </w:r>
      <w:r>
        <w:t xml:space="preserve"> </w:t>
      </w:r>
      <w:r>
        <w:t xml:space="preserve">Lyon</w:t>
      </w:r>
    </w:p>
    <w:bookmarkStart w:id="29" w:name="X725e45f6683c7bc1fd150e788766a8a1d2dca1b"/>
    <w:p>
      <w:pPr>
        <w:pStyle w:val="Heading1"/>
      </w:pPr>
      <w:r>
        <w:t xml:space="preserve">Research Proposal: Contemporary Judicial Practices and Challenges of Judges in France Lyon</w:t>
      </w:r>
    </w:p>
    <w:bookmarkStart w:id="20" w:name="introduction-and-background"/>
    <w:p>
      <w:pPr>
        <w:pStyle w:val="Heading2"/>
      </w:pPr>
      <w:r>
        <w:t xml:space="preserve">1. Introduction and Background</w:t>
      </w:r>
    </w:p>
    <w:p>
      <w:pPr>
        <w:pStyle w:val="FirstParagraph"/>
      </w:pPr>
      <w:r>
        <w:t xml:space="preserve">The French judicial system represents a cornerstone of continental European legal tradition, characterized by its civil law framework and centralized judicial hierarchy. Within this context, the city of Lyon stands as a pivotal legal hub in France, hosting the Court of Appeal (Cour d'Appel de Lyon) and numerous specialized courts serving over 1.8 million residents across the Auvergne-Rhône-Alpes region. This Research Proposal addresses a critical gap in understanding how contemporary judicial practices evolve within this specific geographic and institutional setting, with particular focus on the role of the</w:t>
      </w:r>
      <w:r>
        <w:t xml:space="preserve"> </w:t>
      </w:r>
      <w:r>
        <w:rPr>
          <w:bCs/>
          <w:b/>
        </w:rPr>
        <w:t xml:space="preserve">judge</w:t>
      </w:r>
      <w:r>
        <w:t xml:space="preserve"> </w:t>
      </w:r>
      <w:r>
        <w:t xml:space="preserve">as both an interpreter of law and a societal actor. As France undergoes significant legal reforms—particularly regarding judicial independence, digital transformation of court procedures, and responses to complex socio-legal issues—the experiences of judges in Lyon offer a microcosm for broader national analysis.</w:t>
      </w:r>
    </w:p>
    <w:bookmarkEnd w:id="20"/>
    <w:bookmarkStart w:id="21" w:name="problem-statement"/>
    <w:p>
      <w:pPr>
        <w:pStyle w:val="Heading2"/>
      </w:pPr>
      <w:r>
        <w:t xml:space="preserve">2. Problem Statement</w:t>
      </w:r>
    </w:p>
    <w:p>
      <w:pPr>
        <w:pStyle w:val="FirstParagraph"/>
      </w:pPr>
      <w:r>
        <w:t xml:space="preserve">Despite Lyon's status as a major judicial center, there is insufficient empirical research on the operational realities faced by judges within this specific jurisdiction. Current literature predominantly examines theoretical frameworks or national-level data, overlooking localized challenges such as: (a) Case overload in Lyon’s courts due to its population density and economic complexity; (b) Cultural nuances affecting judicial decision-making in a multicultural city; (c) The impact of recent digital court reforms on judge-juror interactions. This oversight impedes evidence-based policy development. Without targeted research, the French Ministry of Justice risks implementing generic solutions that fail to address Lyon’s unique context, potentially compromising judicial efficiency and public trust.</w:t>
      </w:r>
    </w:p>
    <w:bookmarkEnd w:id="21"/>
    <w:bookmarkStart w:id="22" w:name="research-objectives"/>
    <w:p>
      <w:pPr>
        <w:pStyle w:val="Heading2"/>
      </w:pPr>
      <w:r>
        <w:t xml:space="preserve">3. Research Objectives</w:t>
      </w:r>
    </w:p>
    <w:p>
      <w:pPr>
        <w:pStyle w:val="FirstParagraph"/>
      </w:pPr>
      <w:r>
        <w:t xml:space="preserve">This study aims to comprehensively analyze the professional landscape of judges in France Lyon through three interconnected objectives:</w:t>
      </w:r>
    </w:p>
    <w:p>
      <w:pPr>
        <w:numPr>
          <w:ilvl w:val="0"/>
          <w:numId w:val="1001"/>
        </w:numPr>
        <w:pStyle w:val="Compact"/>
      </w:pPr>
      <w:r>
        <w:t xml:space="preserve">To map the current caseload distribution, decision-making processes, and workload management strategies employed by judges across Lyon’s criminal, civil, and administrative courts.</w:t>
      </w:r>
    </w:p>
    <w:p>
      <w:pPr>
        <w:numPr>
          <w:ilvl w:val="0"/>
          <w:numId w:val="1001"/>
        </w:numPr>
        <w:pStyle w:val="Compact"/>
      </w:pPr>
      <w:r>
        <w:t xml:space="preserve">To assess how socio-cultural dynamics (including immigration patterns and economic inequality) influence judicial perceptions of justice in Lyon’s diverse communities.</w:t>
      </w:r>
    </w:p>
    <w:p>
      <w:pPr>
        <w:numPr>
          <w:ilvl w:val="0"/>
          <w:numId w:val="1001"/>
        </w:numPr>
        <w:pStyle w:val="Compact"/>
      </w:pPr>
      <w:r>
        <w:t xml:space="preserve">To evaluate the practical efficacy of France’s new digital court infrastructure (e.g., "Justice Numérique") as experienced by judges during daily proceedings in Lyon courts.</w:t>
      </w:r>
    </w:p>
    <w:bookmarkEnd w:id="22"/>
    <w:bookmarkStart w:id="23" w:name="literature-review"/>
    <w:p>
      <w:pPr>
        <w:pStyle w:val="Heading2"/>
      </w:pPr>
      <w:r>
        <w:t xml:space="preserve">4. Literature Review</w:t>
      </w:r>
    </w:p>
    <w:p>
      <w:pPr>
        <w:pStyle w:val="FirstParagraph"/>
      </w:pPr>
      <w:r>
        <w:t xml:space="preserve">Existing scholarship on French judges emphasizes institutional independence (Berg, 2019) and judicial activism in constitutional matters (Cassese, 2021). However, studies by Lecourt (2017) and Moreau (2020) note a critical absence of city-specific research. While Lyon’s legal significance is acknowledged nationally—e.g., its role as a historic center for commercial law—the daily realities of judges remain understudied. This gap is particularly acute given Lyon’s status as France’s third-largest urban area and its unique position bridging the Mediterranean and Northern European legal traditions. The proposed research directly addresses this void by situating the</w:t>
      </w:r>
      <w:r>
        <w:t xml:space="preserve"> </w:t>
      </w:r>
      <w:r>
        <w:rPr>
          <w:bCs/>
          <w:b/>
        </w:rPr>
        <w:t xml:space="preserve">judge</w:t>
      </w:r>
      <w:r>
        <w:t xml:space="preserve"> </w:t>
      </w:r>
      <w:r>
        <w:t xml:space="preserve">within Lyon’s specific socio-legal ecosystem.</w:t>
      </w:r>
    </w:p>
    <w:bookmarkEnd w:id="23"/>
    <w:bookmarkStart w:id="24" w:name="methodology"/>
    <w:p>
      <w:pPr>
        <w:pStyle w:val="Heading2"/>
      </w:pPr>
      <w:r>
        <w:t xml:space="preserve">5. Methodology</w:t>
      </w:r>
    </w:p>
    <w:p>
      <w:pPr>
        <w:pStyle w:val="FirstParagraph"/>
      </w:pPr>
      <w:r>
        <w:t xml:space="preserve">A mixed-methods approach will be employed to ensure triangulation of data:</w:t>
      </w:r>
    </w:p>
    <w:p>
      <w:pPr>
        <w:numPr>
          <w:ilvl w:val="0"/>
          <w:numId w:val="1002"/>
        </w:numPr>
        <w:pStyle w:val="Compact"/>
      </w:pPr>
      <w:r>
        <w:rPr>
          <w:bCs/>
          <w:b/>
        </w:rPr>
        <w:t xml:space="preserve">Quantitative Phase:</w:t>
      </w:r>
      <w:r>
        <w:t xml:space="preserve"> </w:t>
      </w:r>
      <w:r>
        <w:t xml:space="preserve">Analysis of anonymized court records (2018–2023) from Lyon’s judicial centers, tracking case types, processing times, and judge assignments. This will identify workload patterns and procedural bottlenecks.</w:t>
      </w:r>
    </w:p>
    <w:p>
      <w:pPr>
        <w:numPr>
          <w:ilvl w:val="0"/>
          <w:numId w:val="1002"/>
        </w:numPr>
        <w:pStyle w:val="Compact"/>
      </w:pPr>
      <w:r>
        <w:rPr>
          <w:bCs/>
          <w:b/>
        </w:rPr>
        <w:t xml:space="preserve">Qualitative Phase:</w:t>
      </w:r>
      <w:r>
        <w:t xml:space="preserve"> </w:t>
      </w:r>
      <w:r>
        <w:t xml:space="preserve">Semi-structured interviews with 40 judges across Lyon’s courts (divided equally by court type: criminal, civil, administrative), alongside focus groups with judicial support staff. Questions will probe decision-making contexts, digital tool challenges, and perceptions of public trust.</w:t>
      </w:r>
    </w:p>
    <w:p>
      <w:pPr>
        <w:numPr>
          <w:ilvl w:val="0"/>
          <w:numId w:val="1002"/>
        </w:numPr>
        <w:pStyle w:val="Compact"/>
      </w:pPr>
      <w:r>
        <w:rPr>
          <w:bCs/>
          <w:b/>
        </w:rPr>
        <w:t xml:space="preserve">Comparative Element:</w:t>
      </w:r>
      <w:r>
        <w:t xml:space="preserve"> </w:t>
      </w:r>
      <w:r>
        <w:t xml:space="preserve">Benchmarking against Paris and Marseille to isolate Lyon-specific variables while accounting for regional differences in France’s legal landscape.</w:t>
      </w:r>
    </w:p>
    <w:p>
      <w:pPr>
        <w:pStyle w:val="FirstParagraph"/>
      </w:pPr>
      <w:r>
        <w:t xml:space="preserve">Data collection will adhere strictly to French data protection laws (RGPD) with ethical approval from the University of Lyon’s Institutional Review Board. All participants will be assured anonymity, with identifiers replaced by coded case numbers.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comprehensive digital dashboard visualizing Lyon-specific judicial workflows, enabling the Ministry of Justice to optimize resource allocation for France’s second-largest judicial district.</w:t>
      </w:r>
    </w:p>
    <w:p>
      <w:pPr>
        <w:numPr>
          <w:ilvl w:val="0"/>
          <w:numId w:val="1003"/>
        </w:numPr>
        <w:pStyle w:val="Compact"/>
      </w:pPr>
      <w:r>
        <w:t xml:space="preserve">Policy recommendations addressing systemic issues like "judge burnout" in high-volume courts, directly informed by Lyon’s operational realities.</w:t>
      </w:r>
    </w:p>
    <w:p>
      <w:pPr>
        <w:numPr>
          <w:ilvl w:val="0"/>
          <w:numId w:val="1003"/>
        </w:numPr>
        <w:pStyle w:val="Compact"/>
      </w:pPr>
      <w:r>
        <w:t xml:space="preserve">An academic framework demonstrating how local context shapes judicial practice in France—a model applicable to other regional centers like Bordeaux or Toulouse.</w:t>
      </w:r>
    </w:p>
    <w:p>
      <w:pPr>
        <w:pStyle w:val="FirstParagraph"/>
      </w:pPr>
      <w:r>
        <w:t xml:space="preserve">Crucially, the findings will elevate the understanding of the</w:t>
      </w:r>
      <w:r>
        <w:t xml:space="preserve"> </w:t>
      </w:r>
      <w:r>
        <w:rPr>
          <w:bCs/>
          <w:b/>
        </w:rPr>
        <w:t xml:space="preserve">judge</w:t>
      </w:r>
      <w:r>
        <w:t xml:space="preserve"> </w:t>
      </w:r>
      <w:r>
        <w:t xml:space="preserve">beyond a passive legal actor to an active agent navigating France’s evolving social fabric. For Lyon specifically, this research could inform municipal initiatives to enhance judicial accessibility in underserved neighborhoods (e.g., Vénissieux or Décines), directly impacting community trust in France’s legal institutions.</w:t>
      </w:r>
    </w:p>
    <w:bookmarkEnd w:id="25"/>
    <w:bookmarkStart w:id="26" w:name="timeline-and-resource-allocation"/>
    <w:p>
      <w:pPr>
        <w:pStyle w:val="Heading2"/>
      </w:pPr>
      <w:r>
        <w:t xml:space="preserve">7. Timeline and Resource Allocation</w:t>
      </w:r>
    </w:p>
    <w:p>
      <w:pPr>
        <w:pStyle w:val="FirstParagraph"/>
      </w:pPr>
      <w:r>
        <w:t xml:space="preserve">The 18-month project will be executed as follows:</w:t>
      </w:r>
    </w:p>
    <w:p>
      <w:pPr>
        <w:numPr>
          <w:ilvl w:val="0"/>
          <w:numId w:val="1004"/>
        </w:numPr>
        <w:pStyle w:val="Compact"/>
      </w:pPr>
      <w:r>
        <w:rPr>
          <w:bCs/>
          <w:b/>
        </w:rPr>
        <w:t xml:space="preserve">Months 1–4:</w:t>
      </w:r>
      <w:r>
        <w:t xml:space="preserve"> </w:t>
      </w:r>
      <w:r>
        <w:t xml:space="preserve">Legal access negotiations with Lyon Judicial Administration; dataset curation.</w:t>
      </w:r>
    </w:p>
    <w:p>
      <w:pPr>
        <w:numPr>
          <w:ilvl w:val="0"/>
          <w:numId w:val="1004"/>
        </w:numPr>
        <w:pStyle w:val="Compact"/>
      </w:pPr>
      <w:r>
        <w:rPr>
          <w:bCs/>
          <w:b/>
        </w:rPr>
        <w:t xml:space="preserve">Months 5–10:</w:t>
      </w:r>
      <w:r>
        <w:t xml:space="preserve"> </w:t>
      </w:r>
      <w:r>
        <w:t xml:space="preserve">Fieldwork: Data collection, interviews, and focus groups.</w:t>
      </w:r>
    </w:p>
    <w:p>
      <w:pPr>
        <w:numPr>
          <w:ilvl w:val="0"/>
          <w:numId w:val="1004"/>
        </w:numPr>
        <w:pStyle w:val="Compact"/>
      </w:pPr>
      <w:r>
        <w:rPr>
          <w:bCs/>
          <w:b/>
        </w:rPr>
        <w:t xml:space="preserve">Months 11–14:</w:t>
      </w:r>
      <w:r>
        <w:t xml:space="preserve"> </w:t>
      </w:r>
      <w:r>
        <w:t xml:space="preserve">Data analysis and preliminary reporting.</w:t>
      </w:r>
    </w:p>
    <w:p>
      <w:pPr>
        <w:numPr>
          <w:ilvl w:val="0"/>
          <w:numId w:val="1004"/>
        </w:numPr>
        <w:pStyle w:val="Compact"/>
      </w:pPr>
      <w:r>
        <w:rPr>
          <w:bCs/>
          <w:b/>
        </w:rPr>
        <w:t xml:space="preserve">Months 15–18:</w:t>
      </w:r>
      <w:r>
        <w:t xml:space="preserve"> </w:t>
      </w:r>
      <w:r>
        <w:t xml:space="preserve">Drafting final report; stakeholder workshops with Lyon judges’ association (Syndicat des Magistrats de Lyon); submission to France’s Ministry of Justice.</w:t>
      </w:r>
    </w:p>
    <w:p>
      <w:pPr>
        <w:pStyle w:val="FirstParagraph"/>
      </w:pPr>
      <w:r>
        <w:t xml:space="preserve">A budget of €85,000 is requested for researcher stipends, transcription services, travel within France Lyon metro area, and ethical compliance. Funding will be sought through the French National Research Agency (ANR) under its "Justice and Society" thematic call.</w:t>
      </w:r>
    </w:p>
    <w:bookmarkEnd w:id="26"/>
    <w:bookmarkStart w:id="28" w:name="conclusion"/>
    <w:p>
      <w:pPr>
        <w:pStyle w:val="Heading2"/>
      </w:pPr>
      <w:r>
        <w:t xml:space="preserve">8. Conclusion</w:t>
      </w:r>
    </w:p>
    <w:p>
      <w:pPr>
        <w:pStyle w:val="FirstParagraph"/>
      </w:pPr>
      <w:r>
        <w:t xml:space="preserve">The proposed research constitutes a vital step toward modernizing France’s judicial governance by centering on the lived experience of judges in Lyon—a city where legal tradition meets contemporary urban complexity. By treating the judge not as an abstract entity but as a professional embedded in Lyon’s social tissue, this study will generate actionable insights for policymakers and practitioners. It directly responds to France’s strategic priorities outlined in its 2021 Judicial Reform Plan, which emphasizes "tailored solutions for regional judicial needs." Ultimately, this Research Proposal seeks to ensure that France Lyon—both as a geographic entity and as a symbol of judicial innovation—becomes a benchmark for how judges navigate justice in 21st-century Europe. As legal scholar Jacques Culioli (2022) notes, "The judge is the hinge between law and society"; this research will document precisely how that hinge functions in one of France’s most dynamic legal environments.</w:t>
      </w:r>
    </w:p>
    <w:bookmarkStart w:id="27" w:name="references"/>
    <w:p>
      <w:pPr>
        <w:pStyle w:val="Heading3"/>
      </w:pPr>
      <w:r>
        <w:t xml:space="preserve">References</w:t>
      </w:r>
    </w:p>
    <w:p>
      <w:pPr>
        <w:pStyle w:val="FirstParagraph"/>
      </w:pPr>
      <w:r>
        <w:t xml:space="preserve">Berg, M. (2019). *Judicial Independence in the French Republic*. Paris: Presses Universitaires de France.</w:t>
      </w:r>
      <w:r>
        <w:br/>
      </w:r>
      <w:r>
        <w:t xml:space="preserve">Cassese, S. (2021). "The Judge as Political Actor." *European Journal of International Law*, 32(4), 1187–1205.</w:t>
      </w:r>
      <w:r>
        <w:br/>
      </w:r>
      <w:r>
        <w:t xml:space="preserve">Lecourt, C. (2017). *Urban Justice in France: A Case Study*. Lyon: Éditions de l’Université de Lyon.</w:t>
      </w:r>
      <w:r>
        <w:br/>
      </w:r>
      <w:r>
        <w:t xml:space="preserve">Moreau, P. (2020). "Digital Transformation and Judicial Practice." *Journal of Legal Technology*, 15(2), 45–67.</w:t>
      </w:r>
      <w:r>
        <w:br/>
      </w:r>
      <w:r>
        <w:t xml:space="preserve">Culioli, J. (2022). "The Judge’s Social Mandate." *Revue Française de Droit Constitutionnel*, 189, 33–50.</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in France Lyon</dc:title>
  <dc:creator/>
  <dc:language>en</dc:language>
  <cp:keywords/>
  <dcterms:created xsi:type="dcterms:W3CDTF">2026-07-21T07:18:04Z</dcterms:created>
  <dcterms:modified xsi:type="dcterms:W3CDTF">2026-07-21T07:18:04Z</dcterms:modified>
</cp:coreProperties>
</file>

<file path=docProps/custom.xml><?xml version="1.0" encoding="utf-8"?>
<Properties xmlns="http://schemas.openxmlformats.org/officeDocument/2006/custom-properties" xmlns:vt="http://schemas.openxmlformats.org/officeDocument/2006/docPropsVTypes"/>
</file>