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at</w:t>
      </w:r>
      <w:r>
        <w:t xml:space="preserve"> </w:t>
      </w:r>
      <w:r>
        <w:t xml:space="preserve">the</w:t>
      </w:r>
      <w:r>
        <w:t xml:space="preserve"> </w:t>
      </w:r>
      <w:r>
        <w:t xml:space="preserve">Federal</w:t>
      </w:r>
      <w:r>
        <w:t xml:space="preserve"> </w:t>
      </w:r>
      <w:r>
        <w:t xml:space="preserve">Court</w:t>
      </w:r>
      <w:r>
        <w:t xml:space="preserve"> </w:t>
      </w:r>
      <w:r>
        <w:t xml:space="preserve">of</w:t>
      </w:r>
      <w:r>
        <w:t xml:space="preserve"> </w:t>
      </w:r>
      <w:r>
        <w:t xml:space="preserve">Justice</w:t>
      </w:r>
      <w:r>
        <w:t xml:space="preserve"> </w:t>
      </w:r>
      <w:r>
        <w:t xml:space="preserve">in</w:t>
      </w:r>
      <w:r>
        <w:t xml:space="preserve"> </w:t>
      </w:r>
      <w:r>
        <w:t xml:space="preserve">Frankfurt</w:t>
      </w:r>
      <w:r>
        <w:t xml:space="preserve"> </w:t>
      </w:r>
      <w:r>
        <w:t xml:space="preserve">am</w:t>
      </w:r>
      <w:r>
        <w:t xml:space="preserve"> </w:t>
      </w:r>
      <w:r>
        <w:t xml:space="preserve">Main</w:t>
      </w:r>
    </w:p>
    <w:bookmarkStart w:id="29" w:name="Xe5201665c629094a741b2ab8beef3dda099b4c4"/>
    <w:p>
      <w:pPr>
        <w:pStyle w:val="Heading1"/>
      </w:pPr>
      <w:r>
        <w:t xml:space="preserve">Research Proposal: Judicial Dynamics and Institutional Evolution at the Federal Court of Justice in Frankfurt am Main</w:t>
      </w:r>
    </w:p>
    <w:bookmarkStart w:id="20" w:name="introduction-and-background"/>
    <w:p>
      <w:pPr>
        <w:pStyle w:val="Heading2"/>
      </w:pPr>
      <w:r>
        <w:t xml:space="preserve">1. Introduction and Background</w:t>
      </w:r>
    </w:p>
    <w:p>
      <w:pPr>
        <w:pStyle w:val="FirstParagraph"/>
      </w:pPr>
      <w:r>
        <w:t xml:space="preserve">The Federal Court of Justice (Bundesgerichtshof - BGH) in Frankfurt am Main stands as Germany's highest civil and criminal court, serving as the apex judicial institution for the German legal system. Located in Frankfurt – Europe's financial capital and a global hub for international business – this institution uniquely intersects national jurisprudence with transnational legal challenges. As Germany's most significant judicial body outside Berlin, the BGH processes over 60% of all appeals in civil and criminal matters, wielding profound influence on commercial law, data protection, corporate governance, and human rights across the European Union. This research proposal investigates how judges at the BGH navigate complex legal landscapes amid Frankfurt's dual role as a financial powerhouse and Germany's judicial epicenter. The study addresses an urgent gap: while Frankfurt's economic prominence is well-documented, its judiciary remains under-analyzed in scholarly discourse, particularly regarding judges' decision-making frameworks in a digitalized, interconnected era.</w:t>
      </w:r>
    </w:p>
    <w:bookmarkEnd w:id="20"/>
    <w:bookmarkStart w:id="21" w:name="problem-statement"/>
    <w:p>
      <w:pPr>
        <w:pStyle w:val="Heading2"/>
      </w:pPr>
      <w:r>
        <w:t xml:space="preserve">2. Problem Statement</w:t>
      </w:r>
    </w:p>
    <w:p>
      <w:pPr>
        <w:pStyle w:val="FirstParagraph"/>
      </w:pPr>
      <w:r>
        <w:t xml:space="preserve">Modern judicial practice at the BGH faces unprecedented pressures that demand urgent scholarly attention. Frankfurt's status as home to the European Central Bank (ECB) and major multinational headquarters intensifies cross-border legal conflicts, yet current research inadequately examines how judges resolve tensions between German civil law traditions and EU harmonization directives. Crucially, no comprehensive study has analyzed the BGH's evolving jurisprudence on emerging issues like AI liability, ESG compliance in corporate governance, or data sovereignty under GDPR – all critical to Frankfurt's financial ecosystem. Furthermore, Germany's judicial training system for judges lacks empirical validation regarding their preparedness for transnational cases. This gap risks creating inconsistent rulings with economic and legal repercussions across the EU Single Market. The absence of systematic research on the BGH’s internal dynamics, particularly how judges adapt to Frankfurt's unique institutional environment, undermines judicial transparency and public trust in Germany's highest court.</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patterns of BGH judges across 100 landmark cases (2018–2023) involving EU law conflicts, financial regulation, and digital economy disputes.</w:t>
      </w:r>
    </w:p>
    <w:p>
      <w:pPr>
        <w:numPr>
          <w:ilvl w:val="0"/>
          <w:numId w:val="1001"/>
        </w:numPr>
        <w:pStyle w:val="Compact"/>
      </w:pPr>
      <w:r>
        <w:t xml:space="preserve">To evaluate how Frankfurt's institutional context shapes judicial reasoning through comparative analysis with Berlin-based courts.</w:t>
      </w:r>
    </w:p>
    <w:p>
      <w:pPr>
        <w:numPr>
          <w:ilvl w:val="0"/>
          <w:numId w:val="1001"/>
        </w:numPr>
        <w:pStyle w:val="Compact"/>
      </w:pPr>
      <w:r>
        <w:t xml:space="preserve">To assess the efficacy of Germany's judge-training programs in preparing jurists for transnational cases handled at the BGH.</w:t>
      </w:r>
    </w:p>
    <w:p>
      <w:pPr>
        <w:numPr>
          <w:ilvl w:val="0"/>
          <w:numId w:val="1001"/>
        </w:numPr>
        <w:pStyle w:val="Compact"/>
      </w:pPr>
      <w:r>
        <w:t xml:space="preserve">To develop a framework for judicial adaptation to emerging legal challenges within Frankfurt's economic ecosystem.</w:t>
      </w:r>
    </w:p>
    <w:bookmarkEnd w:id="22"/>
    <w:bookmarkStart w:id="23" w:name="literature-review"/>
    <w:p>
      <w:pPr>
        <w:pStyle w:val="Heading2"/>
      </w:pPr>
      <w:r>
        <w:t xml:space="preserve">4. Literature Review</w:t>
      </w:r>
    </w:p>
    <w:p>
      <w:pPr>
        <w:pStyle w:val="FirstParagraph"/>
      </w:pPr>
      <w:r>
        <w:t xml:space="preserve">Existing scholarship on German jurisprudence (e.g., Glaeser, 2019; Schlink, 2021) emphasizes the BGH's role in legal unification but overlooks its Frankfurt-specific operational dynamics. Research on judicial behavior (Möllers, 2020) focuses on political influence rather than geographic context. Meanwhile, studies of Frankfurt as a financial center (Dahrendorf, 2021) ignore the judiciary’s role in sustaining that ecosystem. Notably, no work examines how judges at the BGH – unlike their counterparts in regional courts – confront pressure from institutions like the ECB or European Court of Justice (ECJ) while maintaining Germany's civil law tradition. This proposal bridges this critical void by centering Frankfurt as an institutional catalyst for judicial innovation.</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Case Study Analysis:</w:t>
      </w:r>
      <w:r>
        <w:t xml:space="preserve"> </w:t>
      </w:r>
      <w:r>
        <w:t xml:space="preserve">Systematic coding of 100 BGH rulings on EU law conflicts (e.g., *BVerfGE* 143, 1) using NVivo to identify judicial reasoning patterns in financial cases.</w:t>
      </w:r>
    </w:p>
    <w:p>
      <w:pPr>
        <w:numPr>
          <w:ilvl w:val="0"/>
          <w:numId w:val="1002"/>
        </w:numPr>
        <w:pStyle w:val="Compact"/>
      </w:pPr>
      <w:r>
        <w:rPr>
          <w:bCs/>
          <w:b/>
        </w:rPr>
        <w:t xml:space="preserve">Structured Interviews:</w:t>
      </w:r>
      <w:r>
        <w:t xml:space="preserve"> </w:t>
      </w:r>
      <w:r>
        <w:t xml:space="preserve">Semi-structured dialogues with 25 BGH judges, legal scholars at Goethe University Frankfurt, and EU law practitioners (n=15), exploring decision-making under Frankfurt's unique pressures.</w:t>
      </w:r>
    </w:p>
    <w:p>
      <w:pPr>
        <w:numPr>
          <w:ilvl w:val="0"/>
          <w:numId w:val="1002"/>
        </w:numPr>
        <w:pStyle w:val="Compact"/>
      </w:pPr>
      <w:r>
        <w:rPr>
          <w:bCs/>
          <w:b/>
        </w:rPr>
        <w:t xml:space="preserve">Institutional Mapping:</w:t>
      </w:r>
      <w:r>
        <w:t xml:space="preserve"> </w:t>
      </w:r>
      <w:r>
        <w:t xml:space="preserve">Comparative analysis of training curricula for German judges versus ECJ judicial academies, with surveys distributed to the Federal Judicial Training Center (Bundeszentrale für Justizausbildung) in Karlsruhe.</w:t>
      </w:r>
    </w:p>
    <w:p>
      <w:pPr>
        <w:pStyle w:val="FirstParagraph"/>
      </w:pPr>
      <w:r>
        <w:t xml:space="preserve">Sampling prioritizes cases involving Frankfurt-based entities (e.g., Deutsche Börse, DAX corporations) to isolate location-specific influences. Ethical approval will be sought from Goethe University's ethics board, with all interviews anonymized per GDPR compliance.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contributions:</w:t>
      </w:r>
    </w:p>
    <w:p>
      <w:pPr>
        <w:numPr>
          <w:ilvl w:val="0"/>
          <w:numId w:val="1003"/>
        </w:numPr>
        <w:pStyle w:val="Compact"/>
      </w:pPr>
      <w:r>
        <w:rPr>
          <w:bCs/>
          <w:b/>
        </w:rPr>
        <w:t xml:space="preserve">Academic Impact:</w:t>
      </w:r>
      <w:r>
        <w:t xml:space="preserve"> </w:t>
      </w:r>
      <w:r>
        <w:t xml:space="preserve">A novel theoretical framework ("Frankfurt Judicial Contextualism") explaining how geographic institutional density shapes judicial outcomes in globalized legal systems, advancing comparative law scholarship beyond Berlin-centric paradigms.</w:t>
      </w:r>
    </w:p>
    <w:p>
      <w:pPr>
        <w:numPr>
          <w:ilvl w:val="0"/>
          <w:numId w:val="1003"/>
        </w:numPr>
        <w:pStyle w:val="Compact"/>
      </w:pPr>
      <w:r>
        <w:rPr>
          <w:bCs/>
          <w:b/>
        </w:rPr>
        <w:t xml:space="preserve">Policymaking Value:</w:t>
      </w:r>
      <w:r>
        <w:t xml:space="preserve"> </w:t>
      </w:r>
      <w:r>
        <w:t xml:space="preserve">Evidence-based recommendations for revising Germany's judge-training programs to emphasize EU-digital law competencies, directly informing the Federal Ministry of Justice's 2025 judicial strategy.</w:t>
      </w:r>
    </w:p>
    <w:p>
      <w:pPr>
        <w:numPr>
          <w:ilvl w:val="0"/>
          <w:numId w:val="1003"/>
        </w:numPr>
        <w:pStyle w:val="Compact"/>
      </w:pPr>
      <w:r>
        <w:rPr>
          <w:bCs/>
          <w:b/>
        </w:rPr>
        <w:t xml:space="preserve">Economic Relevance:</w:t>
      </w:r>
      <w:r>
        <w:t xml:space="preserve"> </w:t>
      </w:r>
      <w:r>
        <w:t xml:space="preserve">A public report detailing BGH rulings' impact on Frankfurt's financial sector, enabling businesses to anticipate legal risks and policymakers to strengthen the city’s regulatory appeal.</w:t>
      </w:r>
    </w:p>
    <w:p>
      <w:pPr>
        <w:numPr>
          <w:ilvl w:val="0"/>
          <w:numId w:val="1003"/>
        </w:numPr>
        <w:pStyle w:val="Compact"/>
      </w:pPr>
      <w:r>
        <w:rPr>
          <w:bCs/>
          <w:b/>
        </w:rPr>
        <w:t xml:space="preserve">International Influence:</w:t>
      </w:r>
      <w:r>
        <w:t xml:space="preserve"> </w:t>
      </w:r>
      <w:r>
        <w:t xml:space="preserve">Cross-border collaboration with the ECJ and European Judicial Training Network (EJTN), positioning Frankfurt as a model for judicial adaptation in EU capitals facing similar challenges.</w:t>
      </w:r>
    </w:p>
    <w:p>
      <w:pPr>
        <w:pStyle w:val="FirstParagraph"/>
      </w:pPr>
      <w:r>
        <w:t xml:space="preserve">The study's findings will directly benefit Germany's judicial self-renewal efforts under its 2023 Federal Constitution Amendments, which prioritize "modernizing justice for digital society" – a goal intrinsically linked to the BGH’s Frankfurt operations.</w:t>
      </w:r>
    </w:p>
    <w:bookmarkEnd w:id="25"/>
    <w:bookmarkStart w:id="26" w:name="timeline-and-feasibility"/>
    <w:p>
      <w:pPr>
        <w:pStyle w:val="Heading2"/>
      </w:pPr>
      <w:r>
        <w:t xml:space="preserve">7. Timeline and Feasibility</w:t>
      </w:r>
    </w:p>
    <w:p>
      <w:pPr>
        <w:pStyle w:val="FirstParagraph"/>
      </w:pPr>
      <w:r>
        <w:t xml:space="preserve">The 18-month project (January 2025–June 2026) is structured as follows:</w:t>
      </w:r>
    </w:p>
    <w:p>
      <w:pPr>
        <w:numPr>
          <w:ilvl w:val="0"/>
          <w:numId w:val="1004"/>
        </w:numPr>
        <w:pStyle w:val="Compact"/>
      </w:pPr>
      <w:r>
        <w:rPr>
          <w:iCs/>
          <w:i/>
        </w:rPr>
        <w:t xml:space="preserve">Months 1–3:</w:t>
      </w:r>
      <w:r>
        <w:t xml:space="preserve"> </w:t>
      </w:r>
      <w:r>
        <w:t xml:space="preserve">Legal database curation at BGH archives and Goethe University Law Library</w:t>
      </w:r>
    </w:p>
    <w:p>
      <w:pPr>
        <w:numPr>
          <w:ilvl w:val="0"/>
          <w:numId w:val="1004"/>
        </w:numPr>
        <w:pStyle w:val="Compact"/>
      </w:pPr>
      <w:r>
        <w:rPr>
          <w:iCs/>
          <w:i/>
        </w:rPr>
        <w:t xml:space="preserve">Months 4–9:</w:t>
      </w:r>
      <w:r>
        <w:t xml:space="preserve"> </w:t>
      </w:r>
      <w:r>
        <w:t xml:space="preserve">Case analysis and interview protocols (ethical approvals secured)</w:t>
      </w:r>
    </w:p>
    <w:p>
      <w:pPr>
        <w:numPr>
          <w:ilvl w:val="0"/>
          <w:numId w:val="1004"/>
        </w:numPr>
        <w:pStyle w:val="Compact"/>
      </w:pPr>
      <w:r>
        <w:rPr>
          <w:iCs/>
          <w:i/>
        </w:rPr>
        <w:t xml:space="preserve">Months 10–15:</w:t>
      </w:r>
      <w:r>
        <w:t xml:space="preserve"> </w:t>
      </w:r>
      <w:r>
        <w:t xml:space="preserve">Data synthesis, framework development, draft reports</w:t>
      </w:r>
    </w:p>
    <w:p>
      <w:pPr>
        <w:numPr>
          <w:ilvl w:val="0"/>
          <w:numId w:val="1004"/>
        </w:numPr>
        <w:pStyle w:val="Compact"/>
      </w:pPr>
      <w:r>
        <w:rPr>
          <w:iCs/>
          <w:i/>
        </w:rPr>
        <w:t xml:space="preserve">Months 16–18:</w:t>
      </w:r>
      <w:r>
        <w:t xml:space="preserve"> </w:t>
      </w:r>
      <w:r>
        <w:t xml:space="preserve">Stakeholder workshops in Frankfurt (with BGH leadership), final publication</w:t>
      </w:r>
    </w:p>
    <w:p>
      <w:pPr>
        <w:pStyle w:val="FirstParagraph"/>
      </w:pPr>
      <w:r>
        <w:t xml:space="preserve">Feasibility is ensured through established partnerships: Goethe University's Institute for German and International Law provides research infrastructure, while the BGH has granted preliminary access to anonymized case files. The Principal Investigator (PI) holds a PhD in Legal Theory from Freie Universität Berlin with 7 years of experience studying German courts, including fieldwork at the BGH (2021–2023).</w:t>
      </w:r>
    </w:p>
    <w:bookmarkEnd w:id="26"/>
    <w:bookmarkStart w:id="27" w:name="conclusion"/>
    <w:p>
      <w:pPr>
        <w:pStyle w:val="Heading2"/>
      </w:pPr>
      <w:r>
        <w:t xml:space="preserve">8. Conclusion</w:t>
      </w:r>
    </w:p>
    <w:p>
      <w:pPr>
        <w:pStyle w:val="FirstParagraph"/>
      </w:pPr>
      <w:r>
        <w:t xml:space="preserve">The Federal Court of Justice in Frankfurt am Main represents a pivotal nexus where Germany’s legal tradition meets global economic realities. This research proposal moves beyond abstract jurisprudence to investigate how judges at the BGH actively shape – and are shaped by – their environment in a city that simultaneously anchors Europe's financial markets and Germany's judicial identity. By centering Frankfurt as both location and catalyst, this study will generate actionable insights for judicial excellence, economic governance, and legal harmonization across the EU. The findings will not only advance academic understanding but also directly support Germany’s strategic positioning as a leader in resilient, adaptive justice systems – proving that the role of judges in Frankfurt extends far beyond courtroom decisions to the very fabric of European legal order.</w:t>
      </w:r>
    </w:p>
    <w:bookmarkEnd w:id="27"/>
    <w:bookmarkStart w:id="28" w:name="references-illustrative"/>
    <w:p>
      <w:pPr>
        <w:pStyle w:val="Heading2"/>
      </w:pPr>
      <w:r>
        <w:t xml:space="preserve">9. References (Illustrative)</w:t>
      </w:r>
    </w:p>
    <w:p>
      <w:pPr>
        <w:numPr>
          <w:ilvl w:val="0"/>
          <w:numId w:val="1005"/>
        </w:numPr>
        <w:pStyle w:val="Compact"/>
      </w:pPr>
      <w:r>
        <w:t xml:space="preserve">Dahrendorf, F. (2021). *Frankfurt: The Heartbeat of European Finance*. Springer.</w:t>
      </w:r>
    </w:p>
    <w:p>
      <w:pPr>
        <w:numPr>
          <w:ilvl w:val="0"/>
          <w:numId w:val="1005"/>
        </w:numPr>
        <w:pStyle w:val="Compact"/>
      </w:pPr>
      <w:r>
        <w:t xml:space="preserve">Glaeser, U. (2019). *The Bundesgerichtshof and German Legal Integration*. Max Planck Institute Press.</w:t>
      </w:r>
    </w:p>
    <w:p>
      <w:pPr>
        <w:numPr>
          <w:ilvl w:val="0"/>
          <w:numId w:val="1005"/>
        </w:numPr>
        <w:pStyle w:val="Compact"/>
      </w:pPr>
      <w:r>
        <w:t xml:space="preserve">Möllers, C. (2020). Judicial Decision-Making in Germany: A Political Economy Approach. *German Law Journal*, 21(4), 789–815.</w:t>
      </w:r>
    </w:p>
    <w:p>
      <w:pPr>
        <w:numPr>
          <w:ilvl w:val="0"/>
          <w:numId w:val="1005"/>
        </w:numPr>
        <w:pStyle w:val="Compact"/>
      </w:pPr>
      <w:r>
        <w:t xml:space="preserve">Schlink, B. (2021). *The German Constitutional Court and Civil Law*. Oxford University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at the Federal Court of Justice in Frankfurt am Main</dc:title>
  <dc:creator/>
  <dc:language>en</dc:language>
  <cp:keywords/>
  <dcterms:created xsi:type="dcterms:W3CDTF">2025-12-11T09:27:21Z</dcterms:created>
  <dcterms:modified xsi:type="dcterms:W3CDTF">2025-12-11T09:27:21Z</dcterms:modified>
</cp:coreProperties>
</file>

<file path=docProps/custom.xml><?xml version="1.0" encoding="utf-8"?>
<Properties xmlns="http://schemas.openxmlformats.org/officeDocument/2006/custom-properties" xmlns:vt="http://schemas.openxmlformats.org/officeDocument/2006/docPropsVTypes"/>
</file>