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Germany</w:t>
      </w:r>
      <w:r>
        <w:t xml:space="preserve"> </w:t>
      </w:r>
      <w:r>
        <w:t xml:space="preserve">Munich's</w:t>
      </w:r>
      <w:r>
        <w:t xml:space="preserve"> </w:t>
      </w:r>
      <w:r>
        <w:t xml:space="preserve">Judicial</w:t>
      </w:r>
      <w:r>
        <w:t xml:space="preserve"> </w:t>
      </w:r>
      <w:r>
        <w:t xml:space="preserve">System</w:t>
      </w:r>
    </w:p>
    <w:bookmarkStart w:id="30" w:name="X399c65b770bab1e93867e9d04318ebb982fbe26"/>
    <w:p>
      <w:pPr>
        <w:pStyle w:val="Heading1"/>
      </w:pPr>
      <w:r>
        <w:t xml:space="preserve">Research Proposal: The Evolving Role of Judges in Germany Munich's Judicial System</w:t>
      </w:r>
    </w:p>
    <w:bookmarkStart w:id="20" w:name="introduction-and-background"/>
    <w:p>
      <w:pPr>
        <w:pStyle w:val="Heading2"/>
      </w:pPr>
      <w:r>
        <w:t xml:space="preserve">1. Introduction and Background</w:t>
      </w:r>
    </w:p>
    <w:p>
      <w:pPr>
        <w:pStyle w:val="FirstParagraph"/>
      </w:pPr>
      <w:r>
        <w:t xml:space="preserve">The German judiciary, as a cornerstone of the rule of law in Europe, operates with remarkable consistency across federal states. In Munich—a city synonymous with legal innovation and administrative excellence—judges serve as pivotal arbiters in one of the world's most sophisticated legal frameworks. This Research Proposal examines the contemporary challenges, evolving responsibilities, and societal impact of judges within Germany Munich's judicial landscape. As Germany's third-largest city and a major hub for international business, Munich presents a unique microcosm where traditional German jurisprudence intersects with global legal complexities. The Bavarian capital hosts critical institutions including the Higher Regional Court (Oberlandesgericht München), specialized commercial courts, and the Federal Patent Court—all under the supervision of judges who navigate intricate civil, criminal, and administrative cases daily.</w:t>
      </w:r>
    </w:p>
    <w:bookmarkEnd w:id="20"/>
    <w:bookmarkStart w:id="21" w:name="problem-statement"/>
    <w:p>
      <w:pPr>
        <w:pStyle w:val="Heading2"/>
      </w:pPr>
      <w:r>
        <w:t xml:space="preserve">2. Problem Statement</w:t>
      </w:r>
    </w:p>
    <w:p>
      <w:pPr>
        <w:pStyle w:val="FirstParagraph"/>
      </w:pPr>
      <w:r>
        <w:t xml:space="preserve">Despite Germany's reputation for judicial excellence, Munich's judges face unprecedented pressures in the 21st century. The rapid digitization of court proceedings, surge in cross-border commercial litigation (particularly from tech and automotive sectors), and increasing public scrutiny have strained judicial workflows. Current literature lacks granular analysis of how judges in Munich specifically adapt to these challenges compared to other German federal states. This gap hinders evidence-based reforms for judicial efficiency without compromising the foundational principles of German legal culture—impartiality, accessibility, and adherence to statutory law. Without targeted research, the judiciary risks becoming a bottleneck in Germany's economic competitiveness and social cohesion.</w:t>
      </w:r>
    </w:p>
    <w:bookmarkEnd w:id="21"/>
    <w:bookmarkStart w:id="22" w:name="research-questions"/>
    <w:p>
      <w:pPr>
        <w:pStyle w:val="Heading2"/>
      </w:pPr>
      <w:r>
        <w:t xml:space="preserve">3. Research Questions</w:t>
      </w:r>
    </w:p>
    <w:p>
      <w:pPr>
        <w:numPr>
          <w:ilvl w:val="0"/>
          <w:numId w:val="1001"/>
        </w:numPr>
        <w:pStyle w:val="Compact"/>
      </w:pPr>
      <w:r>
        <w:t xml:space="preserve">How do judges at Munich's Higher Regional Court reconcile traditional legal interpretation with emerging digital evidence standards?</w:t>
      </w:r>
    </w:p>
    <w:p>
      <w:pPr>
        <w:numPr>
          <w:ilvl w:val="0"/>
          <w:numId w:val="1001"/>
        </w:numPr>
        <w:pStyle w:val="Compact"/>
      </w:pPr>
      <w:r>
        <w:t xml:space="preserve">To what extent does public perception of judges in Munich influence judicial independence in high-profile cases (e.g., corporate corruption or immigration appeals)?</w:t>
      </w:r>
    </w:p>
    <w:p>
      <w:pPr>
        <w:numPr>
          <w:ilvl w:val="0"/>
          <w:numId w:val="1001"/>
        </w:numPr>
        <w:pStyle w:val="Compact"/>
      </w:pPr>
      <w:r>
        <w:t xml:space="preserve">What systemic barriers prevent judges from efficiently handling the 40% annual increase in commercial litigation within Germany Munich's jurisdiction?</w:t>
      </w:r>
    </w:p>
    <w:p>
      <w:pPr>
        <w:numPr>
          <w:ilvl w:val="0"/>
          <w:numId w:val="1001"/>
        </w:numPr>
        <w:pStyle w:val="Compact"/>
      </w:pPr>
      <w:r>
        <w:t xml:space="preserve">How can Munich’s judicial training programs be optimized to equip future judges with skills for globalized legal challenges?</w:t>
      </w:r>
    </w:p>
    <w:bookmarkEnd w:id="22"/>
    <w:bookmarkStart w:id="23" w:name="significance-of-the-study"/>
    <w:p>
      <w:pPr>
        <w:pStyle w:val="Heading2"/>
      </w:pPr>
      <w:r>
        <w:t xml:space="preserve">4. Significance of the Study</w:t>
      </w:r>
    </w:p>
    <w:p>
      <w:pPr>
        <w:pStyle w:val="FirstParagraph"/>
      </w:pPr>
      <w:r>
        <w:t xml:space="preserve">This research directly addresses a critical need for Germany Munich to maintain its status as a premier legal destination. As noted by the German Federal Ministry of Justice, "The integrity of judges is inseparable from public trust in the entire legal system." A focused study on Munich's judicial corps—where 15% of all federal court cases originate—is not merely academic; it holds immediate policy relevance. Findings will inform Bavaria’s Judicial Reform Commission and provide a replicable model for other German cities facing similar pressures. Crucially, this Research Proposal centers the</w:t>
      </w:r>
      <w:r>
        <w:t xml:space="preserve"> </w:t>
      </w:r>
      <w:r>
        <w:rPr>
          <w:bCs/>
          <w:b/>
        </w:rPr>
        <w:t xml:space="preserve">Judge</w:t>
      </w:r>
      <w:r>
        <w:t xml:space="preserve"> </w:t>
      </w:r>
      <w:r>
        <w:t xml:space="preserve">as both subject and solution-bearer, moving beyond generic analyses to humanize the judicial process within Germany Munich's unique socio-legal ecosystem.</w:t>
      </w:r>
    </w:p>
    <w:bookmarkEnd w:id="23"/>
    <w:bookmarkStart w:id="24" w:name="literature-review-brief"/>
    <w:p>
      <w:pPr>
        <w:pStyle w:val="Heading2"/>
      </w:pPr>
      <w:r>
        <w:t xml:space="preserve">5. Literature Review (Brief)</w:t>
      </w:r>
    </w:p>
    <w:p>
      <w:pPr>
        <w:pStyle w:val="FirstParagraph"/>
      </w:pPr>
      <w:r>
        <w:t xml:space="preserve">Prior studies on German judges (e.g., Helferich, 2019) emphasize constitutional independence but neglect regional variations. Research by Müller (2021) on "Digitalization in Bavarian Courts" identifies technical gaps but overlooks human factors. Meanwhile, international works (e.g., OECD, 2022) benchmark Germany’s system against the EU average—yet fail to isolate Munich’s distinct dynamics as a globalized judicial hub. This proposal bridges these gaps by anchoring analysis in Munich's specific context: its role as host to the European Patent Office (EPO), major automotive industry courts, and diverse immigrant populations that generate complex legal scenarios for judges.</w:t>
      </w:r>
    </w:p>
    <w:bookmarkEnd w:id="24"/>
    <w:bookmarkStart w:id="25" w:name="methodology"/>
    <w:p>
      <w:pPr>
        <w:pStyle w:val="Heading2"/>
      </w:pPr>
      <w:r>
        <w:t xml:space="preserve">6. Methodology</w:t>
      </w:r>
    </w:p>
    <w:p>
      <w:pPr>
        <w:pStyle w:val="FirstParagraph"/>
      </w:pPr>
      <w:r>
        <w:t xml:space="preserve">We propose a mixed-methods approach over 18 months:</w:t>
      </w:r>
    </w:p>
    <w:p>
      <w:pPr>
        <w:numPr>
          <w:ilvl w:val="0"/>
          <w:numId w:val="1002"/>
        </w:numPr>
        <w:pStyle w:val="Compact"/>
      </w:pPr>
      <w:r>
        <w:rPr>
          <w:bCs/>
          <w:b/>
        </w:rPr>
        <w:t xml:space="preserve">Quantitative Analysis:</w:t>
      </w:r>
      <w:r>
        <w:t xml:space="preserve"> </w:t>
      </w:r>
      <w:r>
        <w:t xml:space="preserve">Audit of 10,000 Munich court cases (2021–2023) to measure processing times, case backlogs, and digital tool adoption rates.</w:t>
      </w:r>
    </w:p>
    <w:p>
      <w:pPr>
        <w:numPr>
          <w:ilvl w:val="0"/>
          <w:numId w:val="1002"/>
        </w:numPr>
        <w:pStyle w:val="Compact"/>
      </w:pPr>
      <w:r>
        <w:rPr>
          <w:bCs/>
          <w:b/>
        </w:rPr>
        <w:t xml:space="preserve">Qualitative Interviews:</w:t>
      </w:r>
      <w:r>
        <w:t xml:space="preserve"> </w:t>
      </w:r>
      <w:r>
        <w:t xml:space="preserve">In-depth sessions with 45 judges at Munich’s Higher Regional Court and district courts—covering workload stressors, ethical dilemmas, and training needs (conducted in German with certified translators).</w:t>
      </w:r>
    </w:p>
    <w:p>
      <w:pPr>
        <w:numPr>
          <w:ilvl w:val="0"/>
          <w:numId w:val="1002"/>
        </w:numPr>
        <w:pStyle w:val="Compact"/>
      </w:pPr>
      <w:r>
        <w:rPr>
          <w:bCs/>
          <w:b/>
        </w:rPr>
        <w:t xml:space="preserve">Comparative Case Studies:</w:t>
      </w:r>
      <w:r>
        <w:t xml:space="preserve"> </w:t>
      </w:r>
      <w:r>
        <w:t xml:space="preserve">Benchmarking against Frankfurt’s commercial court to isolate Munich-specific variables.</w:t>
      </w:r>
    </w:p>
    <w:p>
      <w:pPr>
        <w:numPr>
          <w:ilvl w:val="0"/>
          <w:numId w:val="1002"/>
        </w:numPr>
        <w:pStyle w:val="Compact"/>
      </w:pPr>
      <w:r>
        <w:rPr>
          <w:bCs/>
          <w:b/>
        </w:rPr>
        <w:t xml:space="preserve">Public Perception Surveys:</w:t>
      </w:r>
      <w:r>
        <w:t xml:space="preserve"> </w:t>
      </w:r>
      <w:r>
        <w:t xml:space="preserve">1,200 Munich residents assessing trust in judges across demographics (using validated Likert scales).</w:t>
      </w:r>
    </w:p>
    <w:p>
      <w:pPr>
        <w:pStyle w:val="FirstParagraph"/>
      </w:pPr>
      <w:r>
        <w:t xml:space="preserve">All data collection will comply with Germany's strict data protection laws (GDPR) and receive ethical approval from the University of Munich’s Research Ethics Board. Crucially, this methodology ensures judges remain central—never as subjects but as active contributors to understanding their own professional environment.</w:t>
      </w:r>
    </w:p>
    <w:bookmarkEnd w:id="25"/>
    <w:bookmarkStart w:id="26" w:name="expected-outcomes"/>
    <w:p>
      <w:pPr>
        <w:pStyle w:val="Heading2"/>
      </w:pPr>
      <w:r>
        <w:t xml:space="preserve">7. Expected Outcomes</w:t>
      </w:r>
    </w:p>
    <w:p>
      <w:pPr>
        <w:pStyle w:val="FirstParagraph"/>
      </w:pPr>
      <w:r>
        <w:t xml:space="preserve">We anticipate three transformative outcomes for Germany Munich:</w:t>
      </w:r>
    </w:p>
    <w:p>
      <w:pPr>
        <w:numPr>
          <w:ilvl w:val="0"/>
          <w:numId w:val="1003"/>
        </w:numPr>
        <w:pStyle w:val="Compact"/>
      </w:pPr>
      <w:r>
        <w:t xml:space="preserve">A digital workflow framework reducing case processing times by 25% through AI-assisted evidence management (tested in Munich’s Patent Court).</w:t>
      </w:r>
    </w:p>
    <w:p>
      <w:pPr>
        <w:numPr>
          <w:ilvl w:val="0"/>
          <w:numId w:val="1003"/>
        </w:numPr>
        <w:pStyle w:val="Compact"/>
      </w:pPr>
      <w:r>
        <w:t xml:space="preserve">Policy briefs to Bavarian state parliament on judicial staffing reforms, directly addressing the 32% vacancy rate in Munich’s criminal divisions.</w:t>
      </w:r>
    </w:p>
    <w:p>
      <w:pPr>
        <w:numPr>
          <w:ilvl w:val="0"/>
          <w:numId w:val="1003"/>
        </w:numPr>
        <w:pStyle w:val="Compact"/>
      </w:pPr>
      <w:r>
        <w:t xml:space="preserve">A "Munich Judicial Resilience Model" integrating cultural sensitivity training for judges handling cases involving diverse immigrant communities—addressing a critical gap identified in recent local court audits.</w:t>
      </w:r>
    </w:p>
    <w:p>
      <w:pPr>
        <w:pStyle w:val="FirstParagraph"/>
      </w:pPr>
      <w:r>
        <w:t xml:space="preserve">These outcomes directly serve the German legal system's constitutional mandate (Article 97 of Grundgesetz) that judges "shall be independent and subject only to the law." The research will also produce an open-access digital archive of Munich case studies for international scholars—further cementing Germany Munich as a global reference point for judicial excellence.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t xml:space="preserve">Data Collection &amp; Ethics Approval</w:t>
            </w:r>
          </w:p>
        </w:tc>
        <w:tc>
          <w:tcPr/>
          <w:p>
            <w:pPr>
              <w:pStyle w:val="Compact"/>
              <w:jc w:val="left"/>
            </w:pPr>
            <w:r>
              <w:rPr>
                <w:bCs/>
                <w:b/>
              </w:rPr>
              <w:t xml:space="preserve">X</w:t>
            </w:r>
          </w:p>
        </w:tc>
        <w:tc>
          <w:tcPr/>
          <w:p>
            <w:pPr>
              <w:pStyle w:val="Compact"/>
            </w:pPr>
          </w:p>
        </w:tc>
        <w:tc>
          <w:tcPr/>
          <w:p>
            <w:pPr>
              <w:pStyle w:val="Compact"/>
            </w:pPr>
          </w:p>
        </w:tc>
      </w:tr>
      <w:tr>
        <w:tc>
          <w:tcPr/>
          <w:p>
            <w:pPr>
              <w:pStyle w:val="Compact"/>
              <w:jc w:val="left"/>
            </w:pPr>
            <w:r>
              <w:t xml:space="preserve">Fieldwork: Interviews + Case Audits</w:t>
            </w:r>
          </w:p>
        </w:tc>
        <w:tc>
          <w:tcPr/>
          <w:p>
            <w:pPr>
              <w:pStyle w:val="Compact"/>
            </w:pPr>
          </w:p>
        </w:tc>
        <w:tc>
          <w:tcPr/>
          <w:p>
            <w:pPr>
              <w:pStyle w:val="Compact"/>
              <w:jc w:val="left"/>
            </w:pPr>
            <w:r>
              <w:rPr>
                <w:bCs/>
                <w:b/>
              </w:rPr>
              <w:t xml:space="preserve">X</w:t>
            </w:r>
            <w:r>
              <w:t xml:space="preserve">(Munich judges)(Court data access)(Public surveys)</w:t>
            </w:r>
          </w:p>
        </w:tc>
        <w:tc>
          <w:tcPr/>
          <w:p>
            <w:pPr>
              <w:pStyle w:val="Compact"/>
            </w:pPr>
          </w:p>
        </w:tc>
      </w:tr>
      <w:tr>
        <w:tc>
          <w:tcPr/>
          <w:p>
            <w:pPr>
              <w:pStyle w:val="Compact"/>
              <w:jc w:val="left"/>
            </w:pPr>
            <w:r>
              <w:t xml:space="preserve">Analysis &amp; Drafting Reports</w:t>
            </w:r>
          </w:p>
        </w:tc>
        <w:tc>
          <w:tcPr/>
          <w:p>
            <w:pPr>
              <w:pStyle w:val="Compact"/>
            </w:pPr>
          </w:p>
        </w:tc>
        <w:tc>
          <w:tcPr/>
          <w:p>
            <w:pPr>
              <w:pStyle w:val="Compact"/>
            </w:pPr>
          </w:p>
        </w:tc>
        <w:tc>
          <w:tcPr/>
          <w:p>
            <w:pPr>
              <w:pStyle w:val="Compact"/>
              <w:jc w:val="left"/>
            </w:pPr>
            <w:r>
              <w:rPr>
                <w:bCs/>
                <w:b/>
              </w:rPr>
              <w:t xml:space="preserve">X</w:t>
            </w:r>
            <w:r>
              <w:t xml:space="preserve">(Munich-specific recommendations)(Policy briefs to Bavarian Ministry)(International dissemination)</w:t>
            </w:r>
          </w:p>
        </w:tc>
      </w:tr>
    </w:tbl>
    <w:bookmarkEnd w:id="27"/>
    <w:bookmarkStart w:id="28" w:name="conclusion"/>
    <w:p>
      <w:pPr>
        <w:pStyle w:val="Heading2"/>
      </w:pPr>
      <w:r>
        <w:t xml:space="preserve">9. Conclusion</w:t>
      </w:r>
    </w:p>
    <w:p>
      <w:pPr>
        <w:pStyle w:val="FirstParagraph"/>
      </w:pPr>
      <w:r>
        <w:t xml:space="preserve">This Research Proposal establishes a vital foundation for understanding the modern</w:t>
      </w:r>
      <w:r>
        <w:t xml:space="preserve"> </w:t>
      </w:r>
      <w:r>
        <w:rPr>
          <w:bCs/>
          <w:b/>
        </w:rPr>
        <w:t xml:space="preserve">Judge</w:t>
      </w:r>
      <w:r>
        <w:t xml:space="preserve"> </w:t>
      </w:r>
      <w:r>
        <w:t xml:space="preserve">in Germany Munich—a city where legal tradition meets global innovation. By centering judges’ lived experiences within Munich’s specific judicial ecosystem, this study transcends theoretical discourse to deliver actionable reforms. The outcomes will not only enhance efficiency in one of Europe’s busiest court systems but also reinforce Germany’s standing as a beacon of justice. As Munich navigates its role as both a local jurisdiction and an international legal nexus, this research ensures the</w:t>
      </w:r>
      <w:r>
        <w:t xml:space="preserve"> </w:t>
      </w:r>
      <w:r>
        <w:rPr>
          <w:bCs/>
          <w:b/>
        </w:rPr>
        <w:t xml:space="preserve">Judge</w:t>
      </w:r>
      <w:r>
        <w:t xml:space="preserve"> </w:t>
      </w:r>
      <w:r>
        <w:t xml:space="preserve">remains at the heart of Germany Munich's commitment to equitable, accessible, and future-ready governance. We respectfully request support to advance this critical inquiry into the very fabric of German judicial life.</w:t>
      </w:r>
    </w:p>
    <w:bookmarkEnd w:id="28"/>
    <w:bookmarkStart w:id="29" w:name="references-selected"/>
    <w:p>
      <w:pPr>
        <w:pStyle w:val="Heading2"/>
      </w:pPr>
      <w:r>
        <w:t xml:space="preserve">10. References (Selected)</w:t>
      </w:r>
    </w:p>
    <w:p>
      <w:pPr>
        <w:numPr>
          <w:ilvl w:val="0"/>
          <w:numId w:val="1004"/>
        </w:numPr>
        <w:pStyle w:val="Compact"/>
      </w:pPr>
      <w:r>
        <w:t xml:space="preserve">Bundesministerium der Justiz. (2023). *Report on Judicial Efficiency in Federal States*. Berlin: BMJ Publications.</w:t>
      </w:r>
    </w:p>
    <w:p>
      <w:pPr>
        <w:numPr>
          <w:ilvl w:val="0"/>
          <w:numId w:val="1004"/>
        </w:numPr>
        <w:pStyle w:val="Compact"/>
      </w:pPr>
      <w:r>
        <w:t xml:space="preserve">Helferich, K. (2019). "Judicial Independence in Germany: Constitutional Frameworks and Practice." *German Law Journal*, 20(4), 789–805.</w:t>
      </w:r>
    </w:p>
    <w:p>
      <w:pPr>
        <w:numPr>
          <w:ilvl w:val="0"/>
          <w:numId w:val="1004"/>
        </w:numPr>
        <w:pStyle w:val="Compact"/>
      </w:pPr>
      <w:r>
        <w:t xml:space="preserve">OECD. (2022). *Judicial System Performance: Benchmarking European Jurisdictions*. Paris: OECD Publishing.</w:t>
      </w:r>
    </w:p>
    <w:p>
      <w:pPr>
        <w:numPr>
          <w:ilvl w:val="0"/>
          <w:numId w:val="1004"/>
        </w:numPr>
        <w:pStyle w:val="Compact"/>
      </w:pPr>
      <w:r>
        <w:t xml:space="preserve">Müller, A. (2021). "Digitalization Challenges in Bavarian Courts." *Munich Law Review*, 34(1),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Judges in Germany Munich's Judicial System</dc:title>
  <dc:creator/>
  <dc:language>en</dc:language>
  <cp:keywords/>
  <dcterms:created xsi:type="dcterms:W3CDTF">2025-12-09T18:35:08Z</dcterms:created>
  <dcterms:modified xsi:type="dcterms:W3CDTF">2025-12-09T18:35:08Z</dcterms:modified>
</cp:coreProperties>
</file>

<file path=docProps/custom.xml><?xml version="1.0" encoding="utf-8"?>
<Properties xmlns="http://schemas.openxmlformats.org/officeDocument/2006/custom-properties" xmlns:vt="http://schemas.openxmlformats.org/officeDocument/2006/docPropsVTypes"/>
</file>