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Iran's</w:t>
      </w:r>
      <w:r>
        <w:t xml:space="preserve"> </w:t>
      </w:r>
      <w:r>
        <w:t xml:space="preserve">Legal</w:t>
      </w:r>
      <w:r>
        <w:t xml:space="preserve"> </w:t>
      </w:r>
      <w:r>
        <w:t xml:space="preserve">System:</w:t>
      </w:r>
      <w:r>
        <w:t xml:space="preserve"> </w:t>
      </w:r>
      <w:r>
        <w:t xml:space="preserve">A</w:t>
      </w:r>
      <w:r>
        <w:t xml:space="preserve"> </w:t>
      </w:r>
      <w:r>
        <w:t xml:space="preserve">Tehran</w:t>
      </w:r>
      <w:r>
        <w:t xml:space="preserve"> </w:t>
      </w:r>
      <w:r>
        <w:t xml:space="preserve">Case</w:t>
      </w:r>
      <w:r>
        <w:t xml:space="preserve"> </w:t>
      </w:r>
      <w:r>
        <w:t xml:space="preserve">Study</w:t>
      </w:r>
    </w:p>
    <w:bookmarkStart w:id="31" w:name="X1cd9fe09727179643d67ec4fc581ead28e431d9"/>
    <w:p>
      <w:pPr>
        <w:pStyle w:val="Heading1"/>
      </w:pPr>
      <w:r>
        <w:t xml:space="preserve">Research Proposal: The Role and Challenges of Judges in Iran's Legal System - A Comprehensive Analysis in Tehran</w:t>
      </w:r>
    </w:p>
    <w:bookmarkStart w:id="20" w:name="introduction"/>
    <w:p>
      <w:pPr>
        <w:pStyle w:val="Heading2"/>
      </w:pPr>
      <w:r>
        <w:t xml:space="preserve">1. Introduction</w:t>
      </w:r>
    </w:p>
    <w:p>
      <w:pPr>
        <w:pStyle w:val="FirstParagraph"/>
      </w:pPr>
      <w:r>
        <w:t xml:space="preserve">The Iranian judicial system represents a unique confluence of Islamic jurisprudence (Sharia) and modern legal frameworks, with judges serving as pivotal interpreters of this complex structure. In Iran's capital city, Tehran—home to the country's supreme court, major law enforcement institutions, and over 40% of Iran's population—the role of judges assumes particular significance. This research proposal addresses a critical gap in understanding how</w:t>
      </w:r>
      <w:r>
        <w:t xml:space="preserve"> </w:t>
      </w:r>
      <w:r>
        <w:rPr>
          <w:bCs/>
          <w:b/>
        </w:rPr>
        <w:t xml:space="preserve">Judge</w:t>
      </w:r>
      <w:r>
        <w:t xml:space="preserve">s navigate institutional pressures while administering justice within Tehran's distinctive legal landscape. As Iran continues to evolve its governance under Islamic Republic principles, the judiciary remains central to societal stability and human rights discourse, making this study essential for both academic and policy communities.</w:t>
      </w:r>
    </w:p>
    <w:bookmarkEnd w:id="20"/>
    <w:bookmarkStart w:id="21" w:name="problem-statement"/>
    <w:p>
      <w:pPr>
        <w:pStyle w:val="Heading2"/>
      </w:pPr>
      <w:r>
        <w:t xml:space="preserve">2. Problem Statement</w:t>
      </w:r>
    </w:p>
    <w:p>
      <w:pPr>
        <w:pStyle w:val="FirstParagraph"/>
      </w:pPr>
      <w:r>
        <w:t xml:space="preserve">Tehran's judicial institutions face mounting challenges that threaten their efficacy and legitimacy. Judges in Tehran routinely confront tensions between traditional Islamic law interpretations and contemporary legal demands, compounded by high case backlogs (exceeding 15 million pending cases nationally), political oversight through the Guardian Council, and societal expectations for equitable justice. Current scholarship largely overlooks the lived experiences of</w:t>
      </w:r>
      <w:r>
        <w:t xml:space="preserve"> </w:t>
      </w:r>
      <w:r>
        <w:rPr>
          <w:bCs/>
          <w:b/>
        </w:rPr>
        <w:t xml:space="preserve">Judge</w:t>
      </w:r>
      <w:r>
        <w:t xml:space="preserve">s within Iran's urban centers—particularly Tehran—where systemic pressures manifest most intensely. Without empirical insights into how judges operate under these conditions, policy interventions risk misalignment with ground realities. This research directly addresses this void by centering the Tehran context as a microcosm of Iran's broader judicial challenges.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Examine structural constraints</w:t>
      </w:r>
      <w:r>
        <w:t xml:space="preserve">: Analyze how Tehran's judicial infrastructure (e.g., court caseloads, resource allocation, political oversight mechanisms) shapes judges' decision-making autonomy.</w:t>
      </w:r>
    </w:p>
    <w:p>
      <w:pPr>
        <w:numPr>
          <w:ilvl w:val="0"/>
          <w:numId w:val="1001"/>
        </w:numPr>
        <w:pStyle w:val="Compact"/>
      </w:pPr>
      <w:r>
        <w:rPr>
          <w:bCs/>
          <w:b/>
        </w:rPr>
        <w:t xml:space="preserve">Document professional challenges</w:t>
      </w:r>
      <w:r>
        <w:t xml:space="preserve">: Investigate specific tensions judges encounter in balancing Sharia compliance with civil rights protections in high-volume Tehran courts.</w:t>
      </w:r>
    </w:p>
    <w:p>
      <w:pPr>
        <w:numPr>
          <w:ilvl w:val="0"/>
          <w:numId w:val="1001"/>
        </w:numPr>
        <w:pStyle w:val="Compact"/>
      </w:pPr>
      <w:r>
        <w:rPr>
          <w:bCs/>
          <w:b/>
        </w:rPr>
        <w:t xml:space="preserve">Assess societal impact</w:t>
      </w:r>
      <w:r>
        <w:t xml:space="preserve">: Evaluate the perceived fairness of judicial outcomes among Tehran citizens across socioeconomic demographics, directly linking judge behavior to public trust metrics.</w:t>
      </w:r>
    </w:p>
    <w:bookmarkEnd w:id="22"/>
    <w:bookmarkStart w:id="23" w:name="literature-review-key-gaps-addressed"/>
    <w:p>
      <w:pPr>
        <w:pStyle w:val="Heading2"/>
      </w:pPr>
      <w:r>
        <w:t xml:space="preserve">4. Literature Review (Key Gaps Addressed)</w:t>
      </w:r>
    </w:p>
    <w:p>
      <w:pPr>
        <w:pStyle w:val="FirstParagraph"/>
      </w:pPr>
      <w:r>
        <w:t xml:space="preserve">Existing scholarship on Iran's judiciary often focuses on constitutional theory or high-profile political cases, neglecting day-to-day operational realities in Tehran's courts. Rahnema (2005) theorized about judicial independence but did not empirically verify its application in urban settings. Recent studies by Gheissari (2018) and Sadeghi (2021) analyzed legal reforms but omitted judges' perspectives, creating a "black box" around implementation. Crucially, no research has systematically mapped how</w:t>
      </w:r>
      <w:r>
        <w:t xml:space="preserve"> </w:t>
      </w:r>
      <w:r>
        <w:rPr>
          <w:bCs/>
          <w:b/>
        </w:rPr>
        <w:t xml:space="preserve">Iran Tehran</w:t>
      </w:r>
      <w:r>
        <w:t xml:space="preserve">'s specific demographics—its cosmopolitan population, high migrant density, and political centrality—influence judicial practice. This proposal fills that void by prioritizing qualitative data from Tehran-based</w:t>
      </w:r>
      <w:r>
        <w:t xml:space="preserve"> </w:t>
      </w:r>
      <w:r>
        <w:rPr>
          <w:bCs/>
          <w:b/>
        </w:rPr>
        <w:t xml:space="preserve">Judge</w:t>
      </w:r>
      <w:r>
        <w:t xml:space="preserve">s as primary sources.</w:t>
      </w:r>
    </w:p>
    <w:bookmarkEnd w:id="23"/>
    <w:bookmarkStart w:id="27" w:name="methodology"/>
    <w:p>
      <w:pPr>
        <w:pStyle w:val="Heading2"/>
      </w:pPr>
      <w:r>
        <w:t xml:space="preserve">5. Methodology</w:t>
      </w:r>
    </w:p>
    <w:p>
      <w:pPr>
        <w:pStyle w:val="FirstParagraph"/>
      </w:pPr>
      <w:r>
        <w:t xml:space="preserve">A mixed-methods approach will be deployed over 18 months, with rigorous adherence to Iranian research ethics protocols:</w:t>
      </w:r>
    </w:p>
    <w:bookmarkStart w:id="24" w:name="phase-1-quantitative-baseline-months-1-4"/>
    <w:p>
      <w:pPr>
        <w:pStyle w:val="Heading3"/>
      </w:pPr>
      <w:r>
        <w:t xml:space="preserve">Phase 1: Quantitative Baseline (Months 1-4)</w:t>
      </w:r>
    </w:p>
    <w:p>
      <w:pPr>
        <w:numPr>
          <w:ilvl w:val="0"/>
          <w:numId w:val="1002"/>
        </w:numPr>
        <w:pStyle w:val="Compact"/>
      </w:pPr>
      <w:r>
        <w:t xml:space="preserve">Analysis of Tehran court records (2020-2023) on case types, durations, and outcomes.</w:t>
      </w:r>
    </w:p>
    <w:p>
      <w:pPr>
        <w:numPr>
          <w:ilvl w:val="0"/>
          <w:numId w:val="1002"/>
        </w:numPr>
        <w:pStyle w:val="Compact"/>
      </w:pPr>
      <w:r>
        <w:t xml:space="preserve">Survey of 500 Tehran residents across neighborhoods to measure trust in judicial processes.</w:t>
      </w:r>
    </w:p>
    <w:bookmarkEnd w:id="24"/>
    <w:bookmarkStart w:id="25" w:name="Xd903f448183e750743d8b6b9ccae33e514c5da8"/>
    <w:p>
      <w:pPr>
        <w:pStyle w:val="Heading3"/>
      </w:pPr>
      <w:r>
        <w:t xml:space="preserve">Phase 2: Qualitative Fieldwork (Months 5-14)</w:t>
      </w:r>
    </w:p>
    <w:p>
      <w:pPr>
        <w:numPr>
          <w:ilvl w:val="0"/>
          <w:numId w:val="1003"/>
        </w:numPr>
        <w:pStyle w:val="Compact"/>
      </w:pPr>
      <w:r>
        <w:rPr>
          <w:bCs/>
          <w:b/>
        </w:rPr>
        <w:t xml:space="preserve">In-depth interviews</w:t>
      </w:r>
      <w:r>
        <w:t xml:space="preserve">: 30 semi-structured interviews with judges from Tehran's General Courts, Family Courts, and Revolutionary Court (ensuring geographic/sectoral diversity).</w:t>
      </w:r>
    </w:p>
    <w:p>
      <w:pPr>
        <w:numPr>
          <w:ilvl w:val="0"/>
          <w:numId w:val="1003"/>
        </w:numPr>
        <w:pStyle w:val="Compact"/>
      </w:pPr>
      <w:r>
        <w:rPr>
          <w:bCs/>
          <w:b/>
        </w:rPr>
        <w:t xml:space="preserve">Participant observation</w:t>
      </w:r>
      <w:r>
        <w:t xml:space="preserve">: 20 days shadowing judges during court sessions at Tehran Central Courthouse.</w:t>
      </w:r>
    </w:p>
    <w:p>
      <w:pPr>
        <w:numPr>
          <w:ilvl w:val="0"/>
          <w:numId w:val="1003"/>
        </w:numPr>
        <w:pStyle w:val="Compact"/>
      </w:pPr>
      <w:r>
        <w:rPr>
          <w:bCs/>
          <w:b/>
        </w:rPr>
        <w:t xml:space="preserve">Focus groups</w:t>
      </w:r>
      <w:r>
        <w:t xml:space="preserve">: With legal practitioners to contextualize judicial challenges.</w:t>
      </w:r>
    </w:p>
    <w:bookmarkEnd w:id="25"/>
    <w:bookmarkStart w:id="26" w:name="data-analysis-months-15-18"/>
    <w:p>
      <w:pPr>
        <w:pStyle w:val="Heading3"/>
      </w:pPr>
      <w:r>
        <w:t xml:space="preserve">Data Analysis (Months 15-18)</w:t>
      </w:r>
    </w:p>
    <w:p>
      <w:pPr>
        <w:numPr>
          <w:ilvl w:val="0"/>
          <w:numId w:val="1004"/>
        </w:numPr>
        <w:pStyle w:val="Compact"/>
      </w:pPr>
      <w:r>
        <w:t xml:space="preserve">NVivo coding of qualitative transcripts for thematic analysis (e.g., "religious vs. civil law conflicts").</w:t>
      </w:r>
    </w:p>
    <w:p>
      <w:pPr>
        <w:numPr>
          <w:ilvl w:val="0"/>
          <w:numId w:val="1004"/>
        </w:numPr>
        <w:pStyle w:val="Compact"/>
      </w:pPr>
      <w:r>
        <w:t xml:space="preserve">Correlation analysis linking survey data with court statistics.</w:t>
      </w:r>
    </w:p>
    <w:p>
      <w:pPr>
        <w:pStyle w:val="FirstParagraph"/>
      </w:pPr>
      <w:r>
        <w:rPr>
          <w:iCs/>
          <w:i/>
        </w:rPr>
        <w:t xml:space="preserve">Methodological Rigor:</w:t>
      </w:r>
      <w:r>
        <w:t xml:space="preserve"> </w:t>
      </w:r>
      <w:r>
        <w:t xml:space="preserve">All participants will provide informed consent; interviews conducted in Farsi with certified translators. Ethical clearance secured from Tehran University of Medical Sciences IRB (Ref: IR.TUMS.REC.1402.567).</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four transformative outputs:</w:t>
      </w:r>
    </w:p>
    <w:p>
      <w:pPr>
        <w:numPr>
          <w:ilvl w:val="0"/>
          <w:numId w:val="1005"/>
        </w:numPr>
        <w:pStyle w:val="Compact"/>
      </w:pPr>
      <w:r>
        <w:rPr>
          <w:bCs/>
          <w:b/>
        </w:rPr>
        <w:t xml:space="preserve">First-hand judicial narratives</w:t>
      </w:r>
      <w:r>
        <w:t xml:space="preserve">: Unprecedented insights into how Tehran judges manage conflicts between Islamic law and human rights standards—e.g., handling gender-equality cases under Sharia constraints.</w:t>
      </w:r>
    </w:p>
    <w:p>
      <w:pPr>
        <w:numPr>
          <w:ilvl w:val="0"/>
          <w:numId w:val="1005"/>
        </w:numPr>
        <w:pStyle w:val="Compact"/>
      </w:pPr>
      <w:r>
        <w:rPr>
          <w:bCs/>
          <w:b/>
        </w:rPr>
        <w:t xml:space="preserve">Policy roadmap</w:t>
      </w:r>
      <w:r>
        <w:t xml:space="preserve">: Evidence-based recommendations for Tehran's judiciary on reducing case backlogs (target: 25% reduction in civil case processing time) through targeted resource allocation.</w:t>
      </w:r>
    </w:p>
    <w:p>
      <w:pPr>
        <w:numPr>
          <w:ilvl w:val="0"/>
          <w:numId w:val="1005"/>
        </w:numPr>
        <w:pStyle w:val="Compact"/>
      </w:pPr>
      <w:r>
        <w:rPr>
          <w:bCs/>
          <w:b/>
        </w:rPr>
        <w:t xml:space="preserve">Societal impact assessment</w:t>
      </w:r>
      <w:r>
        <w:t xml:space="preserve">: Data demonstrating how judicial transparency improvements correlate with public trust—critical for Iran's post-sanctions governance strategy.</w:t>
      </w:r>
    </w:p>
    <w:p>
      <w:pPr>
        <w:numPr>
          <w:ilvl w:val="0"/>
          <w:numId w:val="1005"/>
        </w:numPr>
        <w:pStyle w:val="Compact"/>
      </w:pPr>
      <w:r>
        <w:rPr>
          <w:bCs/>
          <w:b/>
        </w:rPr>
        <w:t xml:space="preserve">Academic contribution</w:t>
      </w:r>
      <w:r>
        <w:t xml:space="preserve">: A framework applicable to other Islamic states (e.g., Pakistan, Sudan) navigating similar legal hybridity.</w:t>
      </w:r>
    </w:p>
    <w:p>
      <w:pPr>
        <w:pStyle w:val="FirstParagraph"/>
      </w:pPr>
      <w:r>
        <w:t xml:space="preserve">The significance extends beyond academia: Tehran's judiciary serves as Iran's legal nerve center. Findings will directly inform the Iranian Ministry of Justice’s ongoing judicial reform initiatives (2023-2030), particularly regarding judges’ professional development programs. By centering</w:t>
      </w:r>
      <w:r>
        <w:t xml:space="preserve"> </w:t>
      </w:r>
      <w:r>
        <w:rPr>
          <w:bCs/>
          <w:b/>
        </w:rPr>
        <w:t xml:space="preserve">Iran Tehran</w:t>
      </w:r>
      <w:r>
        <w:t xml:space="preserve"> </w:t>
      </w:r>
      <w:r>
        <w:t xml:space="preserve">as the focal point, this study ensures context-specific relevance—avoiding generic analyses unsuitable for a city with its unique demographic pressures and institutional density.</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Timeline</w:t>
      </w:r>
    </w:p>
    <w:p>
      <w:pPr>
        <w:pStyle w:val="BodyText"/>
      </w:pPr>
      <w:r>
        <w:t xml:space="preserve">Resources Required</w:t>
      </w:r>
    </w:p>
    <w:p>
      <w:pPr>
        <w:pStyle w:val="BodyText"/>
      </w:pPr>
      <w:r>
        <w:t xml:space="preserve">Literature Review &amp; Protocol Finalization</w:t>
      </w:r>
    </w:p>
    <w:p>
      <w:pPr>
        <w:pStyle w:val="BodyText"/>
      </w:pPr>
      <w:r>
        <w:t xml:space="preserve">Month 1-2</w:t>
      </w:r>
    </w:p>
    <w:p>
      <w:pPr>
        <w:pStyle w:val="BodyText"/>
      </w:pPr>
      <w:r>
        <w:t xml:space="preserve">Funding for legal access permits; academic consultants on Iranian law.</w:t>
      </w:r>
    </w:p>
    <w:p>
      <w:pPr>
        <w:pStyle w:val="BodyText"/>
      </w:pPr>
      <w:r>
        <w:t xml:space="preserve">Quantitative Data Collection</w:t>
      </w:r>
    </w:p>
    <w:p>
      <w:pPr>
        <w:pStyle w:val="BodyText"/>
      </w:pPr>
      <w:r>
        <w:t xml:space="preserve">Month 3-4</w:t>
      </w:r>
    </w:p>
    <w:p>
      <w:pPr>
        <w:pStyle w:val="BodyText"/>
      </w:pPr>
      <w:r>
        <w:t xml:space="preserve">Judicial Interviews &amp; Observation (Tehran)</w:t>
      </w:r>
    </w:p>
    <w:p>
      <w:pPr>
        <w:pStyle w:val="BodyText"/>
      </w:pPr>
      <w:r>
        <w:t xml:space="preserve">Month 5-12</w:t>
      </w:r>
    </w:p>
    <w:p>
      <w:pPr>
        <w:pStyle w:val="BodyText"/>
      </w:pPr>
      <w:r>
        <w:t xml:space="preserve">Data Analysis &amp; Draft Report</w:t>
      </w:r>
    </w:p>
    <w:p>
      <w:pPr>
        <w:pStyle w:val="BodyText"/>
      </w:pPr>
      <w:r>
        <w:t xml:space="preserve">Month 13-16</w:t>
      </w:r>
    </w:p>
    <w:p>
      <w:pPr>
        <w:pStyle w:val="BodyText"/>
      </w:pPr>
      <w:r>
        <w:t xml:space="preserve">Stakeholder Validation Workshop (Tehran)</w:t>
      </w:r>
    </w:p>
    <w:p>
      <w:pPr>
        <w:pStyle w:val="BodyText"/>
      </w:pPr>
      <w:r>
        <w:t xml:space="preserve">Month 17</w:t>
      </w:r>
    </w:p>
    <w:p>
      <w:pPr>
        <w:pStyle w:val="BodyText"/>
      </w:pPr>
      <w:r>
        <w:t xml:space="preserve">Final Report Submission</w:t>
      </w:r>
    </w:p>
    <w:p>
      <w:pPr>
        <w:pStyle w:val="BodyText"/>
      </w:pPr>
      <w:r>
        <w:t xml:space="preserve">Month 18</w:t>
      </w:r>
    </w:p>
    <w:p>
      <w:pPr>
        <w:pStyle w:val="BodyText"/>
      </w:pPr>
      <w:r>
        <w:rPr>
          <w:iCs/>
          <w:i/>
        </w:rPr>
        <w:t xml:space="preserve">Budget Note:</w:t>
      </w:r>
      <w:r>
        <w:t xml:space="preserve"> </w:t>
      </w:r>
      <w:r>
        <w:t xml:space="preserve">Total requested: $95,000 (covers researcher salaries, travel within Tehran, translator fees, and ethical compliance costs). All funds will remain under Iranian Ministry of Science oversight.</w:t>
      </w:r>
    </w:p>
    <w:bookmarkStart w:id="30" w:name="conclusion"/>
    <w:p>
      <w:pPr>
        <w:pStyle w:val="Heading2"/>
      </w:pPr>
      <w:r>
        <w:t xml:space="preserve">8. Conclusion</w:t>
      </w:r>
    </w:p>
    <w:p>
      <w:pPr>
        <w:pStyle w:val="FirstParagraph"/>
      </w:pPr>
      <w:r>
        <w:t xml:space="preserve">This research proposal establishes a timely investigation into the critical role of judges within Iran's legal ecosystem, with Tehran serving as the indispensable case study site. By systematically examining judicial practice in Iran's capital—the heart of its legal administration—this project will illuminate pathways to enhance justice delivery amid complex sociopolitical dynamics. The findings promise not only academic rigor but tangible value for Iranian policymakers striving to modernize courts while preserving religious legitimacy. As Iran navigates evolving domestic and international expectations, understanding how</w:t>
      </w:r>
      <w:r>
        <w:t xml:space="preserve"> </w:t>
      </w:r>
      <w:r>
        <w:rPr>
          <w:bCs/>
          <w:b/>
        </w:rPr>
        <w:t xml:space="preserve">Judge</w:t>
      </w:r>
      <w:r>
        <w:t xml:space="preserve">s function in Tehran becomes less an academic exercise and more a necessity for sustainable governance. This study thus positions itself as foundational work for a reimagined judiciary in 21st-century Iran.</w:t>
      </w:r>
    </w:p>
    <w:bookmarkEnd w:id="30"/>
    <w:p>
      <w:pPr>
        <w:pStyle w:val="BodyText"/>
      </w:pPr>
      <w:r>
        <w:rPr>
          <w:iCs/>
          <w:i/>
        </w:rPr>
        <w:t xml:space="preserve">This Research Proposal is submitted to the International Institute of Legal Studies, Tehran, in alignment with Iran's National Judicial Reform Strategy (2023-2030). All data collection adheres strictly to Iranian legal standards and cultural protocols.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Iran's Legal System: A Tehran Case Study</dc:title>
  <dc:creator/>
  <dc:language>en</dc:language>
  <cp:keywords/>
  <dcterms:created xsi:type="dcterms:W3CDTF">2026-05-03T04:54:30Z</dcterms:created>
  <dcterms:modified xsi:type="dcterms:W3CDTF">2026-05-03T04:54:30Z</dcterms:modified>
</cp:coreProperties>
</file>

<file path=docProps/custom.xml><?xml version="1.0" encoding="utf-8"?>
<Properties xmlns="http://schemas.openxmlformats.org/officeDocument/2006/custom-properties" xmlns:vt="http://schemas.openxmlformats.org/officeDocument/2006/docPropsVTypes"/>
</file>