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and</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fe464b4942a72962ed74db19e17e370107c58fc"/>
    <w:p>
      <w:pPr>
        <w:pStyle w:val="Heading1"/>
      </w:pPr>
      <w:r>
        <w:t xml:space="preserve">Research Proposal: Advancing Judicial Integrity and Efficiency Through Contemporary Judge Development in Israel Tel Aviv</w:t>
      </w:r>
    </w:p>
    <w:bookmarkStart w:id="20" w:name="Xaafcd267362d2de5fcec4d330f91f1dfcaf5295"/>
    <w:p>
      <w:pPr>
        <w:pStyle w:val="Heading2"/>
      </w:pPr>
      <w:r>
        <w:t xml:space="preserve">1. Introduction: The Critical Role of the Judge in Modern Israeli Jurisprudence</w:t>
      </w:r>
    </w:p>
    <w:p>
      <w:pPr>
        <w:pStyle w:val="FirstParagraph"/>
      </w:pPr>
      <w:r>
        <w:t xml:space="preserve">The judicial system serves as the bedrock of democratic governance in Israel, with its integrity directly impacting societal trust and legal equity. In Tel Aviv—the economic, cultural, and judicial epicenter of Israel—this role assumes heightened significance due to the city’s concentration of high-stakes commercial disputes, international litigation, and complex civil cases. This</w:t>
      </w:r>
      <w:r>
        <w:t xml:space="preserve"> </w:t>
      </w:r>
      <w:r>
        <w:rPr>
          <w:iCs/>
          <w:i/>
        </w:rPr>
        <w:t xml:space="preserve">Research Proposal</w:t>
      </w:r>
      <w:r>
        <w:t xml:space="preserve"> </w:t>
      </w:r>
      <w:r>
        <w:t xml:space="preserve">examines the evolving responsibilities of the</w:t>
      </w:r>
      <w:r>
        <w:t xml:space="preserve"> </w:t>
      </w:r>
      <w:r>
        <w:rPr>
          <w:bCs/>
          <w:b/>
        </w:rPr>
        <w:t xml:space="preserve">Judge</w:t>
      </w:r>
      <w:r>
        <w:t xml:space="preserve"> </w:t>
      </w:r>
      <w:r>
        <w:t xml:space="preserve">within Israel's unique legal framework, specifically in Tel Aviv courts. As a global hub for innovation and diversity, Tel Aviv presents a dynamic laboratory to investigate how modern judicial practices can be optimized to meet 21st-century challenges while upholding Israel’s constitutional principles.</w:t>
      </w:r>
    </w:p>
    <w:bookmarkEnd w:id="20"/>
    <w:bookmarkStart w:id="21" w:name="Xc7223e431ee27a193f8669937199189b1220855"/>
    <w:p>
      <w:pPr>
        <w:pStyle w:val="Heading2"/>
      </w:pPr>
      <w:r>
        <w:t xml:space="preserve">2. Problem Statement: Systemic Pressures on the Israeli Judiciary in Tel Aviv</w:t>
      </w:r>
    </w:p>
    <w:p>
      <w:pPr>
        <w:pStyle w:val="FirstParagraph"/>
      </w:pPr>
      <w:r>
        <w:t xml:space="preserve">Despite Israel’s renowned legal system, judges in Tel Aviv face unprecedented pressures: a 40% surge in case volume since 2019 (National Judicial Authority, 2023), complex cross-border disputes involving tech giants and international investors, and evolving societal expectations around judicial transparency. Critically, existing research neglects the</w:t>
      </w:r>
      <w:r>
        <w:t xml:space="preserve"> </w:t>
      </w:r>
      <w:r>
        <w:rPr>
          <w:iCs/>
          <w:i/>
        </w:rPr>
        <w:t xml:space="preserve">micro-level operational challenges</w:t>
      </w:r>
      <w:r>
        <w:t xml:space="preserve"> </w:t>
      </w:r>
      <w:r>
        <w:t xml:space="preserve">of judges in Tel Aviv’s high-pressure environment. This gap impedes evidence-based reforms to prevent case backlogs, reduce judicial burnout, and enhance public confidence—particularly in a city where 70% of Israel’s commercial litigation occurs (Tel Aviv District Court Report, 2024). Without targeted intervention, these pressures risk eroding the rule of law in Israel’s most vital legal arena.</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map the day-to-day operational challenges faced by judges in Tel Aviv District Court (including caseload management, technology integration, and stakeholder communication).</w:t>
      </w:r>
    </w:p>
    <w:p>
      <w:pPr>
        <w:numPr>
          <w:ilvl w:val="0"/>
          <w:numId w:val="1001"/>
        </w:numPr>
        <w:pStyle w:val="Compact"/>
      </w:pPr>
      <w:r>
        <w:rPr>
          <w:bCs/>
          <w:b/>
        </w:rPr>
        <w:t xml:space="preserve">Secondary:</w:t>
      </w:r>
      <w:r>
        <w:t xml:space="preserve"> </w:t>
      </w:r>
      <w:r>
        <w:t xml:space="preserve">To evaluate the efficacy of current judge-training programs in preparing legal professionals for Tel Aviv’s unique judicial landscape.</w:t>
      </w:r>
    </w:p>
    <w:p>
      <w:pPr>
        <w:numPr>
          <w:ilvl w:val="0"/>
          <w:numId w:val="1001"/>
        </w:numPr>
        <w:pStyle w:val="Compact"/>
      </w:pPr>
      <w:r>
        <w:rPr>
          <w:bCs/>
          <w:b/>
        </w:rPr>
        <w:t xml:space="preserve">Tertiary:</w:t>
      </w:r>
      <w:r>
        <w:t xml:space="preserve"> </w:t>
      </w:r>
      <w:r>
        <w:t xml:space="preserve">To develop a scalable framework for judicial innovation that enhances efficiency without compromising legal rigor, tailored specifically to Israel Tel Aviv's socio-legal ecosystem.</w:t>
      </w:r>
    </w:p>
    <w:bookmarkEnd w:id="22"/>
    <w:bookmarkStart w:id="23" w:name="X3fa69be3a0157672c0c8a97fd9476d926695857"/>
    <w:p>
      <w:pPr>
        <w:pStyle w:val="Heading2"/>
      </w:pPr>
      <w:r>
        <w:t xml:space="preserve">4. Literature Review: Gaps in Contemporary Judicial Scholarship</w:t>
      </w:r>
    </w:p>
    <w:p>
      <w:pPr>
        <w:pStyle w:val="FirstParagraph"/>
      </w:pPr>
      <w:r>
        <w:t xml:space="preserve">Existing scholarship on Israeli judiciary (e.g., Ben-Yair, 2018; Shamir, 2021) focuses largely on constitutional theory or comparative studies with European systems. However, no study has conducted granular analysis of judicial workflows in Tel Aviv—despite the city’s status as Israel’s commercial capital. Global literature (e.g., OECD, 2023) emphasizes AI-driven case management, yet fails to address cultural nuances in Israeli courts where judges balance religious law (Halakha) with secular civil law. This research bridges that void by centering Tel Aviv as the nexus of Israel’s legal evolution.</w:t>
      </w:r>
    </w:p>
    <w:bookmarkEnd w:id="23"/>
    <w:bookmarkStart w:id="24" w:name="X04955c14cce086c8c6e9ee4bb0d6e78ad0fe53d"/>
    <w:p>
      <w:pPr>
        <w:pStyle w:val="Heading2"/>
      </w:pPr>
      <w:r>
        <w:t xml:space="preserve">5. Methodology: Mixed-Methods Approach for Contextual Relevance</w:t>
      </w:r>
    </w:p>
    <w:p>
      <w:pPr>
        <w:pStyle w:val="FirstParagraph"/>
      </w:pPr>
      <w:r>
        <w:t xml:space="preserve">This study employs a triangulated methodology to ensure robust, actionable insights:</w:t>
      </w:r>
    </w:p>
    <w:p>
      <w:pPr>
        <w:numPr>
          <w:ilvl w:val="0"/>
          <w:numId w:val="1002"/>
        </w:numPr>
        <w:pStyle w:val="Compact"/>
      </w:pPr>
      <w:r>
        <w:rPr>
          <w:bCs/>
          <w:b/>
        </w:rPr>
        <w:t xml:space="preserve">Qualitative Phase (Months 1-4):</w:t>
      </w:r>
      <w:r>
        <w:t xml:space="preserve"> </w:t>
      </w:r>
      <w:r>
        <w:t xml:space="preserve">In-depth interviews with 30+ sitting judges and court administrators from Tel Aviv District Court, plus focus groups with legal aid NGOs serving marginalized communities in Israel Tel Aviv.</w:t>
      </w:r>
    </w:p>
    <w:p>
      <w:pPr>
        <w:numPr>
          <w:ilvl w:val="0"/>
          <w:numId w:val="1002"/>
        </w:numPr>
        <w:pStyle w:val="Compact"/>
      </w:pPr>
      <w:r>
        <w:rPr>
          <w:bCs/>
          <w:b/>
        </w:rPr>
        <w:t xml:space="preserve">Quantitative Phase (Months 5-7):</w:t>
      </w:r>
      <w:r>
        <w:t xml:space="preserve"> </w:t>
      </w:r>
      <w:r>
        <w:t xml:space="preserve">Analysis of anonymized court data (2019-2024) tracking case duration, resolution rates, and judicial workload across Tel Aviv’s 8 specialized chambers.</w:t>
      </w:r>
    </w:p>
    <w:p>
      <w:pPr>
        <w:numPr>
          <w:ilvl w:val="0"/>
          <w:numId w:val="1002"/>
        </w:numPr>
        <w:pStyle w:val="Compact"/>
      </w:pPr>
      <w:r>
        <w:rPr>
          <w:bCs/>
          <w:b/>
        </w:rPr>
        <w:t xml:space="preserve">Co-Creation Workshop (Month 8):</w:t>
      </w:r>
      <w:r>
        <w:t xml:space="preserve"> </w:t>
      </w:r>
      <w:r>
        <w:t xml:space="preserve">Collaborative design session with judges, legal tech firms (e.g., Casebook AI), and Ministry of Justice stakeholders to prototype solutions.</w:t>
      </w:r>
    </w:p>
    <w:p>
      <w:pPr>
        <w:pStyle w:val="FirstParagraph"/>
      </w:pPr>
      <w:r>
        <w:t xml:space="preserve">All data collection adheres to Israel’s Personal Data Protection Law, ensuring ethical rigor while respecting judicial confidentiality protocols.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rPr>
          <w:iCs/>
          <w:i/>
        </w:rPr>
        <w:t xml:space="preserve">A Comprehensive Judicial Stress Index</w:t>
      </w:r>
      <w:r>
        <w:t xml:space="preserve">: A first-of-its-kind metric quantifying operational pressures on judges in Israel Tel Aviv, enabling proactive resource allocation.</w:t>
      </w:r>
    </w:p>
    <w:p>
      <w:pPr>
        <w:numPr>
          <w:ilvl w:val="0"/>
          <w:numId w:val="1003"/>
        </w:numPr>
        <w:pStyle w:val="Compact"/>
      </w:pPr>
      <w:r>
        <w:rPr>
          <w:iCs/>
          <w:i/>
        </w:rPr>
        <w:t xml:space="preserve">Tel Aviv-Specific Judge Training Framework</w:t>
      </w:r>
      <w:r>
        <w:t xml:space="preserve">: An evidence-based curriculum integrating conflict resolution, AI tools (e.g., predictive analytics for case sorting), and cultural competency—addressing gaps in current programs like the Israeli Judicial Academy’s training modules.</w:t>
      </w:r>
    </w:p>
    <w:p>
      <w:pPr>
        <w:numPr>
          <w:ilvl w:val="0"/>
          <w:numId w:val="1003"/>
        </w:numPr>
        <w:pStyle w:val="Compact"/>
      </w:pPr>
      <w:r>
        <w:rPr>
          <w:iCs/>
          <w:i/>
        </w:rPr>
        <w:t xml:space="preserve">Policy Brief for Ministry of Justice</w:t>
      </w:r>
      <w:r>
        <w:t xml:space="preserve">: Concrete recommendations to modernize court infrastructure (e.g., expanding remote hearing capacity) while preserving the judge’s pivotal role in judicial independence.</w:t>
      </w:r>
    </w:p>
    <w:p>
      <w:pPr>
        <w:pStyle w:val="FirstParagraph"/>
      </w:pPr>
      <w:r>
        <w:t xml:space="preserve">The significance extends beyond Tel Aviv: As Israel’s most cosmopolitan city, its judicial innovations could set a global standard for urban courts handling complex, high-volume caseloads. For instance, solutions developed for managing tech-sector disputes in Tel Aviv District Court may inform similar challenges in London or Singapore.</w:t>
      </w:r>
    </w:p>
    <w:bookmarkEnd w:id="25"/>
    <w:bookmarkStart w:id="26" w:name="timeline-and-resource-allocation"/>
    <w:p>
      <w:pPr>
        <w:pStyle w:val="Heading2"/>
      </w:pPr>
      <w:r>
        <w:t xml:space="preserve">7. Timeline and Resource Allocation</w:t>
      </w:r>
    </w:p>
    <w:p>
      <w:pPr>
        <w:pStyle w:val="FirstParagraph"/>
      </w:pPr>
      <w:r>
        <w:t xml:space="preserve">The 9-month project (October 2024–June 2025) includes:</w:t>
      </w:r>
    </w:p>
    <w:p>
      <w:pPr>
        <w:numPr>
          <w:ilvl w:val="0"/>
          <w:numId w:val="1004"/>
        </w:numPr>
        <w:pStyle w:val="Compact"/>
      </w:pPr>
      <w:r>
        <w:rPr>
          <w:bCs/>
          <w:b/>
        </w:rPr>
        <w:t xml:space="preserve">Months 1-3:</w:t>
      </w:r>
      <w:r>
        <w:t xml:space="preserve"> </w:t>
      </w:r>
      <w:r>
        <w:t xml:space="preserve">Ethics approval, stakeholder engagement with Tel Aviv Bar Association, and data protocol finalization.</w:t>
      </w:r>
    </w:p>
    <w:p>
      <w:pPr>
        <w:numPr>
          <w:ilvl w:val="0"/>
          <w:numId w:val="1004"/>
        </w:numPr>
        <w:pStyle w:val="Compact"/>
      </w:pPr>
      <w:r>
        <w:rPr>
          <w:bCs/>
          <w:b/>
        </w:rPr>
        <w:t xml:space="preserve">Months 4-7:</w:t>
      </w:r>
      <w:r>
        <w:t xml:space="preserve"> </w:t>
      </w:r>
      <w:r>
        <w:t xml:space="preserve">Fieldwork (interviews, data analysis) with mid-project validation workshop at the Israeli Center for Legal Innovation (Tel Aviv).</w:t>
      </w:r>
    </w:p>
    <w:p>
      <w:pPr>
        <w:numPr>
          <w:ilvl w:val="0"/>
          <w:numId w:val="1004"/>
        </w:numPr>
        <w:pStyle w:val="Compact"/>
      </w:pPr>
      <w:r>
        <w:rPr>
          <w:bCs/>
          <w:b/>
        </w:rPr>
        <w:t xml:space="preserve">Months 8-9:</w:t>
      </w:r>
      <w:r>
        <w:t xml:space="preserve"> </w:t>
      </w:r>
      <w:r>
        <w:t xml:space="preserve">Framework development and policy briefing preparation.</w:t>
      </w:r>
    </w:p>
    <w:p>
      <w:pPr>
        <w:pStyle w:val="FirstParagraph"/>
      </w:pPr>
      <w:r>
        <w:t xml:space="preserve">Budget requirements ($125,000) cover researcher stipends, transcription services, ethical compliance fees, and stakeholder engagement—fully aligned with Israel’s Ministry of Justice research grant priorities.</w:t>
      </w:r>
    </w:p>
    <w:bookmarkEnd w:id="26"/>
    <w:bookmarkStart w:id="27" w:name="X856f52d8bbe7758c61430cf97841ecefed78a91"/>
    <w:p>
      <w:pPr>
        <w:pStyle w:val="Heading2"/>
      </w:pPr>
      <w:r>
        <w:t xml:space="preserve">8. Conclusion: Why This Research Proposal Matters Now</w:t>
      </w:r>
    </w:p>
    <w:p>
      <w:pPr>
        <w:pStyle w:val="FirstParagraph"/>
      </w:pPr>
      <w:r>
        <w:t xml:space="preserve">The role of the</w:t>
      </w:r>
      <w:r>
        <w:t xml:space="preserve"> </w:t>
      </w:r>
      <w:r>
        <w:rPr>
          <w:bCs/>
          <w:b/>
        </w:rPr>
        <w:t xml:space="preserve">Judge</w:t>
      </w:r>
      <w:r>
        <w:t xml:space="preserve"> </w:t>
      </w:r>
      <w:r>
        <w:t xml:space="preserve">in Israel Tel Aviv transcends legal proceedings; it embodies the city’s commitment to justice as both a process and a living practice. As Tel Aviv accelerates its transformation into "Israel’s Silicon Valley," its courts must evolve from reactive adjudicators to proactive governance partners. This</w:t>
      </w:r>
      <w:r>
        <w:t xml:space="preserve"> </w:t>
      </w:r>
      <w:r>
        <w:rPr>
          <w:iCs/>
          <w:i/>
        </w:rPr>
        <w:t xml:space="preserve">Research Proposal</w:t>
      </w:r>
      <w:r>
        <w:t xml:space="preserve"> </w:t>
      </w:r>
      <w:r>
        <w:t xml:space="preserve">directly addresses the urgent need for evidence-based judicial modernization in Israel Tel Aviv—a microcosm of the global legal system’s 21st-century challenges. By centering the judge as both subject and solution, this project promises not just to alleviate case backlogs, but to redefine judicial excellence in a diverse, high-stakes urban context. In doing so, it reaffirms Tel Aviv’s position as Israel’s vanguard for legal innovation—and offers a replicable model for cities worldwide navigating the intersection of law, technology, and society.</w:t>
      </w:r>
    </w:p>
    <w:bookmarkEnd w:id="27"/>
    <w:bookmarkStart w:id="28" w:name="references-selected"/>
    <w:p>
      <w:pPr>
        <w:pStyle w:val="Heading2"/>
      </w:pPr>
      <w:r>
        <w:t xml:space="preserve">9. References (Selected)</w:t>
      </w:r>
    </w:p>
    <w:p>
      <w:pPr>
        <w:numPr>
          <w:ilvl w:val="0"/>
          <w:numId w:val="1005"/>
        </w:numPr>
        <w:pStyle w:val="Compact"/>
      </w:pPr>
      <w:r>
        <w:t xml:space="preserve">Ben-Yair, Y. (2018). *Judicial Independence in Israel: A Comparative Analysis*. Tel Aviv University Press.</w:t>
      </w:r>
    </w:p>
    <w:p>
      <w:pPr>
        <w:numPr>
          <w:ilvl w:val="0"/>
          <w:numId w:val="1005"/>
        </w:numPr>
        <w:pStyle w:val="Compact"/>
      </w:pPr>
      <w:r>
        <w:t xml:space="preserve">National Judicial Authority. (2023). *Annual Report on Court Operations*. Ministry of Justice, Israel.</w:t>
      </w:r>
    </w:p>
    <w:p>
      <w:pPr>
        <w:numPr>
          <w:ilvl w:val="0"/>
          <w:numId w:val="1005"/>
        </w:numPr>
        <w:pStyle w:val="Compact"/>
      </w:pPr>
      <w:r>
        <w:t xml:space="preserve">OECD. (2023). *Digital Justice: Trends and Best Practices*. OECD Publishing.</w:t>
      </w:r>
    </w:p>
    <w:p>
      <w:pPr>
        <w:numPr>
          <w:ilvl w:val="0"/>
          <w:numId w:val="1005"/>
        </w:numPr>
        <w:pStyle w:val="Compact"/>
      </w:pPr>
      <w:r>
        <w:t xml:space="preserve">Tel Aviv District Court. (2024). *Commercial Litigation Statistics, 2019–2024*. Internal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and Innovation in Israel Tel Aviv</dc:title>
  <dc:creator/>
  <dc:language>en</dc:language>
  <cp:keywords/>
  <dcterms:created xsi:type="dcterms:W3CDTF">2025-12-11T08:23:30Z</dcterms:created>
  <dcterms:modified xsi:type="dcterms:W3CDTF">2025-12-11T08:23:30Z</dcterms:modified>
</cp:coreProperties>
</file>

<file path=docProps/custom.xml><?xml version="1.0" encoding="utf-8"?>
<Properties xmlns="http://schemas.openxmlformats.org/officeDocument/2006/custom-properties" xmlns:vt="http://schemas.openxmlformats.org/officeDocument/2006/docPropsVTypes"/>
</file>