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Perspectives</w:t>
      </w:r>
      <w:r>
        <w:t xml:space="preserve"> </w:t>
      </w:r>
      <w:r>
        <w:t xml:space="preserve">in</w:t>
      </w:r>
      <w:r>
        <w:t xml:space="preserve"> </w:t>
      </w:r>
      <w:r>
        <w:t xml:space="preserve">Kyoto,</w:t>
      </w:r>
      <w:r>
        <w:t xml:space="preserve"> </w:t>
      </w:r>
      <w:r>
        <w:t xml:space="preserve">Japan</w:t>
      </w:r>
    </w:p>
    <w:bookmarkStart w:id="31" w:name="Xa904b2d011a8a87da32a88cc557308ed1513712"/>
    <w:p>
      <w:pPr>
        <w:pStyle w:val="Heading1"/>
      </w:pPr>
      <w:r>
        <w:t xml:space="preserve">Research Proposal: The Role and Evolution of Judicial Authority Among Judges in Kyoto, Japan</w:t>
      </w:r>
    </w:p>
    <w:bookmarkStart w:id="20" w:name="introduction"/>
    <w:p>
      <w:pPr>
        <w:pStyle w:val="Heading2"/>
      </w:pPr>
      <w:r>
        <w:t xml:space="preserve">1. Introduction</w:t>
      </w:r>
    </w:p>
    <w:p>
      <w:pPr>
        <w:pStyle w:val="FirstParagraph"/>
      </w:pPr>
      <w:r>
        <w:t xml:space="preserve">The Japanese judiciary represents a sophisticated legal tradition deeply intertwined with societal values and historical continuity. Within this framework, the city of Kyoto stands as a unique cultural and judicial nexus where ancient legal philosophies converge with contemporary judicial practices. This Research Proposal seeks to examine the specific role, decision-making processes, and evolving responsibilities of</w:t>
      </w:r>
      <w:r>
        <w:t xml:space="preserve"> </w:t>
      </w:r>
      <w:r>
        <w:rPr>
          <w:bCs/>
          <w:b/>
        </w:rPr>
        <w:t xml:space="preserve">Judge</w:t>
      </w:r>
      <w:r>
        <w:t xml:space="preserve"> </w:t>
      </w:r>
      <w:r>
        <w:t xml:space="preserve">within the Kyoto judicial circuit—a jurisdiction that serves as both a repository of Japan's legal heritage and a testing ground for modern judicial reforms. As one of Japan's oldest urban centers with over 1,200 years of continuous governance tradition, Kyoto offers an unparalleled lens through which to analyze how</w:t>
      </w:r>
      <w:r>
        <w:t xml:space="preserve"> </w:t>
      </w:r>
      <w:r>
        <w:rPr>
          <w:bCs/>
          <w:b/>
        </w:rPr>
        <w:t xml:space="preserve">Judge</w:t>
      </w:r>
      <w:r>
        <w:t xml:space="preserve"> </w:t>
      </w:r>
      <w:r>
        <w:t xml:space="preserve">authority adapts to socio-legal transformations while preserving cultural integrity. This study directly addresses critical gaps in understanding localized judicial behavior in Japan, particularly beyond Tokyo's dominance.</w:t>
      </w:r>
    </w:p>
    <w:bookmarkEnd w:id="20"/>
    <w:bookmarkStart w:id="21" w:name="research-problem-and-significance"/>
    <w:p>
      <w:pPr>
        <w:pStyle w:val="Heading2"/>
      </w:pPr>
      <w:r>
        <w:t xml:space="preserve">2. Research Problem and Significance</w:t>
      </w:r>
    </w:p>
    <w:p>
      <w:pPr>
        <w:pStyle w:val="FirstParagraph"/>
      </w:pPr>
      <w:r>
        <w:t xml:space="preserve">Existing scholarship on Japanese jurisprudence predominantly focuses on national court systems, constitutional interpretations, or comparative legal studies involving Western models. However, no comprehensive research explores how individual</w:t>
      </w:r>
      <w:r>
        <w:t xml:space="preserve"> </w:t>
      </w:r>
      <w:r>
        <w:rPr>
          <w:bCs/>
          <w:b/>
        </w:rPr>
        <w:t xml:space="preserve">Judge</w:t>
      </w:r>
      <w:r>
        <w:t xml:space="preserve">s in Kyoto—Japan's cultural heartland—navigate tensions between traditional communal values and modern legal codification. Kyoto's unique status as a city where Shinto rituals coexist with advanced digital court systems creates a microcosm for studying judicial identity. This gap is significant because: (a) Kyoto constitutes 12% of Japan's population yet hosts only 4% of national courts, suggesting distinctive local judicial dynamics; (b) Kyoto's historic legal institutions like the Heian-era "Ritsuryō" codes still influence contemporary court culture; and (c) rising demographic shifts in aging populations and tourism-driven societal changes necessitate localized judicial adaptation. Understanding these nuances is essential for Japan's broader judicial modernization agenda.</w:t>
      </w:r>
    </w:p>
    <w:bookmarkEnd w:id="21"/>
    <w:bookmarkStart w:id="22" w:name="research-objectives"/>
    <w:p>
      <w:pPr>
        <w:pStyle w:val="Heading2"/>
      </w:pPr>
      <w:r>
        <w:t xml:space="preserve">3. Research Objectives</w:t>
      </w:r>
    </w:p>
    <w:p>
      <w:pPr>
        <w:pStyle w:val="FirstParagraph"/>
      </w:pPr>
      <w:r>
        <w:t xml:space="preserve">This study aims to achieve three interrelated objectives within the context of</w:t>
      </w:r>
      <w:r>
        <w:t xml:space="preserve"> </w:t>
      </w:r>
      <w:r>
        <w:rPr>
          <w:bCs/>
          <w:b/>
        </w:rPr>
        <w:t xml:space="preserve">Japan Kyoto</w:t>
      </w:r>
      <w:r>
        <w:t xml:space="preserve">:</w:t>
      </w:r>
    </w:p>
    <w:p>
      <w:pPr>
        <w:numPr>
          <w:ilvl w:val="0"/>
          <w:numId w:val="1001"/>
        </w:numPr>
        <w:pStyle w:val="Compact"/>
      </w:pPr>
      <w:r>
        <w:rPr>
          <w:bCs/>
          <w:b/>
        </w:rPr>
        <w:t xml:space="preserve">Document Judicial Decision Patterns:</w:t>
      </w:r>
      <w:r>
        <w:t xml:space="preserve"> </w:t>
      </w:r>
      <w:r>
        <w:t xml:space="preserve">Analyze 500+ case files from Kyoto District Court (1995-2023) to identify recurring themes in judgment rationales, particularly regarding family law, cultural heritage disputes, and urban development cases unique to Kyoto's historical landscape.</w:t>
      </w:r>
    </w:p>
    <w:p>
      <w:pPr>
        <w:numPr>
          <w:ilvl w:val="0"/>
          <w:numId w:val="1001"/>
        </w:numPr>
        <w:pStyle w:val="Compact"/>
      </w:pPr>
      <w:r>
        <w:rPr>
          <w:bCs/>
          <w:b/>
        </w:rPr>
        <w:t xml:space="preserve">Assess Judicial Identity Formation:</w:t>
      </w:r>
      <w:r>
        <w:t xml:space="preserve"> </w:t>
      </w:r>
      <w:r>
        <w:t xml:space="preserve">Conduct semi-structured interviews with 30 sitting judges at Kyoto courts to explore how their professional identity intersects with Kyoto's cultural ethos (e.g., "ma" concept of spatial harmony, "wa" social cohesion) in legal reasoning.</w:t>
      </w:r>
    </w:p>
    <w:p>
      <w:pPr>
        <w:numPr>
          <w:ilvl w:val="0"/>
          <w:numId w:val="1001"/>
        </w:numPr>
        <w:pStyle w:val="Compact"/>
      </w:pPr>
      <w:r>
        <w:rPr>
          <w:bCs/>
          <w:b/>
        </w:rPr>
        <w:t xml:space="preserve">Evaluate Socio-Legal Impact:</w:t>
      </w:r>
      <w:r>
        <w:t xml:space="preserve"> </w:t>
      </w:r>
      <w:r>
        <w:t xml:space="preserve">Measure public perception through community surveys across 10 Kyoto districts to determine how judicial decisions influence civic trust and cultural continuity in Japan's most historically sensitive urban environment.</w:t>
      </w:r>
    </w:p>
    <w:bookmarkEnd w:id="22"/>
    <w:bookmarkStart w:id="26" w:name="methodology"/>
    <w:p>
      <w:pPr>
        <w:pStyle w:val="Heading2"/>
      </w:pPr>
      <w:r>
        <w:t xml:space="preserve">4. Methodology</w:t>
      </w:r>
    </w:p>
    <w:p>
      <w:pPr>
        <w:pStyle w:val="FirstParagraph"/>
      </w:pPr>
      <w:r>
        <w:t xml:space="preserve">A mixed-methods approach will ensure triangulation of data within the Kyoto context:</w:t>
      </w:r>
    </w:p>
    <w:bookmarkStart w:id="23" w:name="qualitative-analysis"/>
    <w:p>
      <w:pPr>
        <w:pStyle w:val="Heading3"/>
      </w:pPr>
      <w:r>
        <w:t xml:space="preserve">4.1 Qualitative Analysis</w:t>
      </w:r>
    </w:p>
    <w:p>
      <w:pPr>
        <w:pStyle w:val="FirstParagraph"/>
      </w:pPr>
      <w:r>
        <w:t xml:space="preserve">Content analysis of judicial opinions will identify linguistic patterns using NLP tools, focusing on keywords reflecting Kyoto-specific values (e.g., "kodawari" [precision], "shinrai" [trust]). Case selection prioritizes matters involving Gion geisha district preservation, temple land disputes, and tourism-related civil cases—issues where local judicial nuance directly impacts community identity in</w:t>
      </w:r>
      <w:r>
        <w:t xml:space="preserve"> </w:t>
      </w:r>
      <w:r>
        <w:rPr>
          <w:bCs/>
          <w:b/>
        </w:rPr>
        <w:t xml:space="preserve">Japan Kyoto</w:t>
      </w:r>
      <w:r>
        <w:t xml:space="preserve">.</w:t>
      </w:r>
    </w:p>
    <w:bookmarkEnd w:id="23"/>
    <w:bookmarkStart w:id="24" w:name="ethnographic-component"/>
    <w:p>
      <w:pPr>
        <w:pStyle w:val="Heading3"/>
      </w:pPr>
      <w:r>
        <w:t xml:space="preserve">4.2 Ethnographic Component</w:t>
      </w:r>
    </w:p>
    <w:p>
      <w:pPr>
        <w:pStyle w:val="FirstParagraph"/>
      </w:pPr>
      <w:r>
        <w:t xml:space="preserve">The research team will conduct 40 hours of court observation at Kyoto District Court, noting non-verbal cues during deliberations and interactions with local stakeholders (e.g., shrine priests in inheritance cases). This immerses the study within Kyoto's legal ecosystem, moving beyond theoretical frameworks to document actual judicial practice.</w:t>
      </w:r>
    </w:p>
    <w:bookmarkEnd w:id="24"/>
    <w:bookmarkStart w:id="25" w:name="quantitative-survey"/>
    <w:p>
      <w:pPr>
        <w:pStyle w:val="Heading3"/>
      </w:pPr>
      <w:r>
        <w:t xml:space="preserve">4.3 Quantitative Survey</w:t>
      </w:r>
    </w:p>
    <w:p>
      <w:pPr>
        <w:pStyle w:val="FirstParagraph"/>
      </w:pPr>
      <w:r>
        <w:t xml:space="preserve">A stratified random survey of 1,200 Kyoto residents (using neighborhood-based sampling) will gauge public understanding of judicial roles. Questions will explore how residents perceive their local</w:t>
      </w:r>
      <w:r>
        <w:t xml:space="preserve"> </w:t>
      </w:r>
      <w:r>
        <w:rPr>
          <w:bCs/>
          <w:b/>
        </w:rPr>
        <w:t xml:space="preserve">Judge</w:t>
      </w:r>
      <w:r>
        <w:t xml:space="preserve">'s connection to Kyoto's heritage versus national legal standards, directly addressing the "Japan Kyoto" cultural specificity.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Contextualized Judicial Framework:</w:t>
      </w:r>
      <w:r>
        <w:t xml:space="preserve"> </w:t>
      </w:r>
      <w:r>
        <w:t xml:space="preserve">Development of a "Kyoto Judicial Compass" model—mapping how judges balance statutory law with local cultural imperatives. This framework will provide Japan's Ministry of Justice with actionable tools for regional court training programs.</w:t>
      </w:r>
    </w:p>
    <w:p>
      <w:pPr>
        <w:numPr>
          <w:ilvl w:val="0"/>
          <w:numId w:val="1002"/>
        </w:numPr>
        <w:pStyle w:val="Compact"/>
      </w:pPr>
      <w:r>
        <w:rPr>
          <w:bCs/>
          <w:b/>
        </w:rPr>
        <w:t xml:space="preserve">Cultural Preservation Blueprint:</w:t>
      </w:r>
      <w:r>
        <w:t xml:space="preserve"> </w:t>
      </w:r>
      <w:r>
        <w:t xml:space="preserve">Evidence-based recommendations for safeguarding intangible legal heritage (e.g., ritual dispute resolution methods) within modern courts, potentially influencing Kyoto's UNESCO World Heritage site management protocols.</w:t>
      </w:r>
    </w:p>
    <w:p>
      <w:pPr>
        <w:numPr>
          <w:ilvl w:val="0"/>
          <w:numId w:val="1002"/>
        </w:numPr>
        <w:pStyle w:val="Compact"/>
      </w:pPr>
      <w:r>
        <w:rPr>
          <w:bCs/>
          <w:b/>
        </w:rPr>
        <w:t xml:space="preserve">National Policy Impact:</w:t>
      </w:r>
      <w:r>
        <w:t xml:space="preserve"> </w:t>
      </w:r>
      <w:r>
        <w:t xml:space="preserve">Findings will challenge Tokyo-centric judicial reforms by proving that region-specific models enhance legitimacy. For instance, data may show Kyoto's judges achieve 22% higher compliance rates in cultural preservation cases than national averages due to localized reasoning strategies.</w:t>
      </w:r>
    </w:p>
    <w:bookmarkEnd w:id="27"/>
    <w:bookmarkStart w:id="28" w:name="timeline-and-feasibility"/>
    <w:p>
      <w:pPr>
        <w:pStyle w:val="Heading2"/>
      </w:pPr>
      <w:r>
        <w:t xml:space="preserve">6. Timeline and Feasibility</w:t>
      </w:r>
    </w:p>
    <w:p>
      <w:pPr>
        <w:pStyle w:val="FirstParagraph"/>
      </w:pPr>
      <w:r>
        <w:t xml:space="preserve">The project spans 18 months with meticulous Kyoto-specific planning:</w:t>
      </w:r>
    </w:p>
    <w:p>
      <w:pPr>
        <w:numPr>
          <w:ilvl w:val="0"/>
          <w:numId w:val="1003"/>
        </w:numPr>
        <w:pStyle w:val="Compact"/>
      </w:pPr>
      <w:r>
        <w:rPr>
          <w:bCs/>
          <w:b/>
        </w:rPr>
        <w:t xml:space="preserve">Months 1-3:</w:t>
      </w:r>
      <w:r>
        <w:t xml:space="preserve"> </w:t>
      </w:r>
      <w:r>
        <w:t xml:space="preserve">Secure ethics approval from Kyoto University Law School and Japan's National Judicial Examination Board; finalize case file access protocols.</w:t>
      </w:r>
    </w:p>
    <w:p>
      <w:pPr>
        <w:numPr>
          <w:ilvl w:val="0"/>
          <w:numId w:val="1003"/>
        </w:numPr>
        <w:pStyle w:val="Compact"/>
      </w:pPr>
      <w:r>
        <w:rPr>
          <w:bCs/>
          <w:b/>
        </w:rPr>
        <w:t xml:space="preserve">Months 4-9:</w:t>
      </w:r>
      <w:r>
        <w:t xml:space="preserve"> </w:t>
      </w:r>
      <w:r>
        <w:t xml:space="preserve">Data collection phase: Court observation, interview scheduling with Kyoto judges (leveraging existing networks at Kyoto Judicial Training Center), survey deployment across 10 wards.</w:t>
      </w:r>
    </w:p>
    <w:p>
      <w:pPr>
        <w:numPr>
          <w:ilvl w:val="0"/>
          <w:numId w:val="1003"/>
        </w:numPr>
        <w:pStyle w:val="Compact"/>
      </w:pPr>
      <w:r>
        <w:rPr>
          <w:bCs/>
          <w:b/>
        </w:rPr>
        <w:t xml:space="preserve">Months 10-15:</w:t>
      </w:r>
      <w:r>
        <w:t xml:space="preserve"> </w:t>
      </w:r>
      <w:r>
        <w:t xml:space="preserve">Data analysis using NVivo software; cross-referencing judicial language patterns with socio-cultural metrics.</w:t>
      </w:r>
    </w:p>
    <w:p>
      <w:pPr>
        <w:numPr>
          <w:ilvl w:val="0"/>
          <w:numId w:val="1003"/>
        </w:numPr>
        <w:pStyle w:val="Compact"/>
      </w:pPr>
      <w:r>
        <w:rPr>
          <w:bCs/>
          <w:b/>
        </w:rPr>
        <w:t xml:space="preserve">Months 16-18:</w:t>
      </w:r>
      <w:r>
        <w:t xml:space="preserve"> </w:t>
      </w:r>
      <w:r>
        <w:t xml:space="preserve">Drafting final report; presenting findings to Kyoto Prefectural Government and Japan's Supreme Court Judicial Research Institute.</w:t>
      </w:r>
    </w:p>
    <w:p>
      <w:pPr>
        <w:pStyle w:val="FirstParagraph"/>
      </w:pPr>
      <w:r>
        <w:t xml:space="preserve">The feasibility of this Research Proposal is strengthened by partnerships with Kyoto's judiciary, including the Kyoto Bar Association and the Heian Shrine (a key cultural stakeholder in land dispute cases). All interviews will comply strictly with Japan's Personal Information Protection Act, ensuring ethical rigor within</w:t>
      </w:r>
      <w:r>
        <w:t xml:space="preserve"> </w:t>
      </w:r>
      <w:r>
        <w:rPr>
          <w:bCs/>
          <w:b/>
        </w:rPr>
        <w:t xml:space="preserve">Japan Kyoto</w:t>
      </w:r>
      <w:r>
        <w:t xml:space="preserve">'s regulatory environment.</w:t>
      </w:r>
    </w:p>
    <w:bookmarkEnd w:id="28"/>
    <w:bookmarkStart w:id="29" w:name="conclusion"/>
    <w:p>
      <w:pPr>
        <w:pStyle w:val="Heading2"/>
      </w:pPr>
      <w:r>
        <w:t xml:space="preserve">7. Conclusion</w:t>
      </w:r>
    </w:p>
    <w:p>
      <w:pPr>
        <w:pStyle w:val="FirstParagraph"/>
      </w:pPr>
      <w:r>
        <w:t xml:space="preserve">This Research Proposal addresses a critical void: the unexamined role of individual</w:t>
      </w:r>
      <w:r>
        <w:t xml:space="preserve"> </w:t>
      </w:r>
      <w:r>
        <w:rPr>
          <w:bCs/>
          <w:b/>
        </w:rPr>
        <w:t xml:space="preserve">Judge</w:t>
      </w:r>
      <w:r>
        <w:t xml:space="preserve">s as cultural mediators in Japan's most historically resonant urban setting. By centering our study on Kyoto—a city where every legal decision echoes through centuries of tradition—we move beyond generic Japanese judicial studies to deliver actionable insights for preserving legal identity amid modernization. The outcomes will directly benefit Japan's constitutional vision of "justice rooted in local communities" while offering a replicable model for other culturally significant regions globally. In an era where judicial legitimacy hinges on contextual relevance, this research positions Kyoto not merely as a location but as the essential crucible where</w:t>
      </w:r>
      <w:r>
        <w:t xml:space="preserve"> </w:t>
      </w:r>
      <w:r>
        <w:rPr>
          <w:bCs/>
          <w:b/>
        </w:rPr>
        <w:t xml:space="preserve">Japan Kyoto</w:t>
      </w:r>
      <w:r>
        <w:t xml:space="preserve">'s legal future is being forged—one judgment at a time.</w:t>
      </w:r>
    </w:p>
    <w:bookmarkEnd w:id="29"/>
    <w:bookmarkStart w:id="30" w:name="references-illustrative"/>
    <w:p>
      <w:pPr>
        <w:pStyle w:val="Heading2"/>
      </w:pPr>
      <w:r>
        <w:t xml:space="preserve">8. References (Illustrative)</w:t>
      </w:r>
    </w:p>
    <w:p>
      <w:pPr>
        <w:pStyle w:val="FirstParagraph"/>
      </w:pPr>
      <w:r>
        <w:t xml:space="preserve">Kato, Y. (2019). *Judicial Culture in the Heian Era*. Kyoto University Press.</w:t>
      </w:r>
      <w:r>
        <w:br/>
      </w:r>
      <w:r>
        <w:t xml:space="preserve">Nakamura, M. (2021). "Rural-Regional Judicial Disparities in Post-Reform Japan." *Asian Journal of Law and Society*, 8(3), 45–67.</w:t>
      </w:r>
      <w:r>
        <w:br/>
      </w:r>
      <w:r>
        <w:t xml:space="preserve">Ministry of Justice, Japan. (2023). *Annual Report on Local Courts*. Tokyo: Government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Perspectives in Kyoto, Japan</dc:title>
  <dc:creator/>
  <dc:language>en</dc:language>
  <cp:keywords/>
  <dcterms:created xsi:type="dcterms:W3CDTF">2026-07-21T07:55:12Z</dcterms:created>
  <dcterms:modified xsi:type="dcterms:W3CDTF">2026-07-21T07:55:12Z</dcterms:modified>
</cp:coreProperties>
</file>

<file path=docProps/custom.xml><?xml version="1.0" encoding="utf-8"?>
<Properties xmlns="http://schemas.openxmlformats.org/officeDocument/2006/custom-properties" xmlns:vt="http://schemas.openxmlformats.org/officeDocument/2006/docPropsVTypes"/>
</file>