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Malaysia's</w:t>
      </w:r>
      <w:r>
        <w:t xml:space="preserve"> </w:t>
      </w:r>
      <w:r>
        <w:t xml:space="preserve">Kuala</w:t>
      </w:r>
      <w:r>
        <w:t xml:space="preserve"> </w:t>
      </w:r>
      <w:r>
        <w:t xml:space="preserve">Lumpur</w:t>
      </w:r>
      <w:r>
        <w:t xml:space="preserve"> </w:t>
      </w:r>
      <w:r>
        <w:t xml:space="preserve">Judiciary</w:t>
      </w:r>
    </w:p>
    <w:bookmarkStart w:id="33" w:name="X5b3affabfd9f60916f47f3b3c9c10620e2bd572"/>
    <w:p>
      <w:pPr>
        <w:pStyle w:val="Heading1"/>
      </w:pPr>
      <w:r>
        <w:t xml:space="preserve">Research Proposal: Judicial Integrity and Public Trust in Malaysia's Kuala Lumpur Judiciary</w:t>
      </w:r>
    </w:p>
    <w:bookmarkStart w:id="20" w:name="introduction"/>
    <w:p>
      <w:pPr>
        <w:pStyle w:val="Heading2"/>
      </w:pPr>
      <w:r>
        <w:t xml:space="preserve">1. Introduction</w:t>
      </w:r>
    </w:p>
    <w:p>
      <w:pPr>
        <w:pStyle w:val="FirstParagraph"/>
      </w:pPr>
      <w:r>
        <w:t xml:space="preserve">The judiciary serves as the cornerstone of democratic governance, safeguarding constitutional rights and ensuring justice through impartial adjudication. In Malaysia, the High Court in Kuala Lumpur functions as the primary seat for federal judicial proceedings, handling complex civil, criminal, and constitutional matters that profoundly impact national policy and citizen rights. This Research Proposal addresses a critical gap in understanding how</w:t>
      </w:r>
      <w:r>
        <w:t xml:space="preserve"> </w:t>
      </w:r>
      <w:r>
        <w:rPr>
          <w:bCs/>
          <w:b/>
        </w:rPr>
        <w:t xml:space="preserve">Judge</w:t>
      </w:r>
      <w:r>
        <w:t xml:space="preserve">s operating within Malaysia's Kuala Lumpur judicial system perceive and navigate challenges to judicial integrity amid evolving societal expectations. As Malaysia advances its rule-of-law framework under the 12th Malaysia Plan, this study examines whether current institutional practices effectively sustain public trust in the judiciary—particularly in Kuala Lumpur, where high-profile cases attract national scrutiny.</w:t>
      </w:r>
    </w:p>
    <w:bookmarkEnd w:id="20"/>
    <w:bookmarkStart w:id="21" w:name="problem-statement"/>
    <w:p>
      <w:pPr>
        <w:pStyle w:val="Heading2"/>
      </w:pPr>
      <w:r>
        <w:t xml:space="preserve">2. Problem Statement</w:t>
      </w:r>
    </w:p>
    <w:p>
      <w:pPr>
        <w:pStyle w:val="FirstParagraph"/>
      </w:pPr>
      <w:r>
        <w:t xml:space="preserve">Recent surveys by the Malaysian Bar Council (2023) indicate a 15% decline in public confidence in judicial independence over five years, with Kuala Lumpur—home to 65% of Malaysia's federal court cases—reporting the highest skepticism. Concurrently, reports from the Judicial Appointments Commission (JAC) highlight rising pressures on</w:t>
      </w:r>
      <w:r>
        <w:t xml:space="preserve"> </w:t>
      </w:r>
      <w:r>
        <w:rPr>
          <w:bCs/>
          <w:b/>
        </w:rPr>
        <w:t xml:space="preserve">Judge</w:t>
      </w:r>
      <w:r>
        <w:t xml:space="preserve">s through social media campaigns and political commentary targeting verdicts. This disconnect between judicial accountability mechanisms and public perception demands urgent investigation in</w:t>
      </w:r>
      <w:r>
        <w:t xml:space="preserve"> </w:t>
      </w:r>
      <w:r>
        <w:rPr>
          <w:bCs/>
          <w:b/>
        </w:rPr>
        <w:t xml:space="preserve">Malaysia Kuala Lumpur</w:t>
      </w:r>
      <w:r>
        <w:t xml:space="preserve">, where urban demographics, digital literacy, and multicultural dynamics uniquely shape judicial legitimacy. Without evidence-based interventions, Malaysia risks eroding its democratic credibility despite constitutional protections for an independent judiciary.</w:t>
      </w:r>
    </w:p>
    <w:bookmarkEnd w:id="21"/>
    <w:bookmarkStart w:id="22" w:name="literature-review"/>
    <w:p>
      <w:pPr>
        <w:pStyle w:val="Heading2"/>
      </w:pPr>
      <w:r>
        <w:t xml:space="preserve">3. Literature Review</w:t>
      </w:r>
    </w:p>
    <w:p>
      <w:pPr>
        <w:pStyle w:val="FirstParagraph"/>
      </w:pPr>
      <w:r>
        <w:t xml:space="preserve">Existing scholarship on Asian judiciaries (e.g., Chua &amp; Lim, 2021) emphasizes judicial independence as a predictor of public trust but overlooks localized contextual factors in Malaysia. Studies by the Institute of Strategic and International Studies (ISIS) focus on legal frameworks, neglecting</w:t>
      </w:r>
      <w:r>
        <w:t xml:space="preserve"> </w:t>
      </w:r>
      <w:r>
        <w:rPr>
          <w:bCs/>
          <w:b/>
        </w:rPr>
        <w:t xml:space="preserve">Judge</w:t>
      </w:r>
      <w:r>
        <w:t xml:space="preserve"> </w:t>
      </w:r>
      <w:r>
        <w:t xml:space="preserve">experiences. Meanwhile, Kuala Lumpur-specific research (Mohamad et al., 2022) analyzes court case volumes but ignores judicial perceptions of societal pressures. This proposal bridges that gap by centering</w:t>
      </w:r>
      <w:r>
        <w:t xml:space="preserve"> </w:t>
      </w:r>
      <w:r>
        <w:rPr>
          <w:bCs/>
          <w:b/>
        </w:rPr>
        <w:t xml:space="preserve">Judge</w:t>
      </w:r>
      <w:r>
        <w:t xml:space="preserve">s' lived realities within Malaysia's unique socio-legal ecosystem—where federal courts in Kuala Lumpur balance Malay customary law, Islamic jurisprudence, and common law traditions under the 1957 Constitution.</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analyze the relationship between judicial practices in Kuala Lumpur's High Court and public trust in Malaysia's judiciary.</w:t>
      </w:r>
    </w:p>
    <w:p>
      <w:pPr>
        <w:numPr>
          <w:ilvl w:val="0"/>
          <w:numId w:val="1001"/>
        </w:numPr>
        <w:pStyle w:val="Compact"/>
      </w:pPr>
      <w:r>
        <w:rPr>
          <w:bCs/>
          <w:b/>
        </w:rPr>
        <w:t xml:space="preserve">RQ1:</w:t>
      </w:r>
      <w:r>
        <w:t xml:space="preserve"> </w:t>
      </w:r>
      <w:r>
        <w:t xml:space="preserve">How do</w:t>
      </w:r>
      <w:r>
        <w:t xml:space="preserve"> </w:t>
      </w:r>
      <w:r>
        <w:rPr>
          <w:bCs/>
          <w:b/>
        </w:rPr>
        <w:t xml:space="preserve">Judge</w:t>
      </w:r>
      <w:r>
        <w:t xml:space="preserve">s in Kuala Lumpur perceive external pressures (political, media, social) on their decision-making?</w:t>
      </w:r>
    </w:p>
    <w:p>
      <w:pPr>
        <w:numPr>
          <w:ilvl w:val="0"/>
          <w:numId w:val="1001"/>
        </w:numPr>
        <w:pStyle w:val="Compact"/>
      </w:pPr>
      <w:r>
        <w:rPr>
          <w:bCs/>
          <w:b/>
        </w:rPr>
        <w:t xml:space="preserve">RQ2:</w:t>
      </w:r>
      <w:r>
        <w:t xml:space="preserve"> </w:t>
      </w:r>
      <w:r>
        <w:t xml:space="preserve">To what extent do current judicial conduct protocols in Malaysia address transparency gaps affecting public confidence?</w:t>
      </w:r>
    </w:p>
    <w:p>
      <w:pPr>
        <w:numPr>
          <w:ilvl w:val="0"/>
          <w:numId w:val="1001"/>
        </w:numPr>
        <w:pStyle w:val="Compact"/>
      </w:pPr>
      <w:r>
        <w:rPr>
          <w:bCs/>
          <w:b/>
        </w:rPr>
        <w:t xml:space="preserve">RQ3:</w:t>
      </w:r>
      <w:r>
        <w:t xml:space="preserve"> </w:t>
      </w:r>
      <w:r>
        <w:t xml:space="preserve">What institutional reforms could strengthen judicial legitimacy for citizens in Kuala Lumpur's diverse communities?</w:t>
      </w:r>
    </w:p>
    <w:bookmarkEnd w:id="23"/>
    <w:bookmarkStart w:id="27" w:name="methodology"/>
    <w:p>
      <w:pPr>
        <w:pStyle w:val="Heading2"/>
      </w:pPr>
      <w:r>
        <w:t xml:space="preserve">5. Methodology</w:t>
      </w:r>
    </w:p>
    <w:p>
      <w:pPr>
        <w:pStyle w:val="FirstParagraph"/>
      </w:pPr>
      <w:r>
        <w:t xml:space="preserve">This mixed-methods study employs sequential explanatory design over 18 months, grounded in Malaysia's legal context:</w:t>
      </w:r>
    </w:p>
    <w:bookmarkStart w:id="24" w:name="phase-1-quantitative-analysis-months-1-6"/>
    <w:p>
      <w:pPr>
        <w:pStyle w:val="Heading3"/>
      </w:pPr>
      <w:r>
        <w:t xml:space="preserve">Phase 1: Quantitative Analysis (Months 1-6)</w:t>
      </w:r>
    </w:p>
    <w:p>
      <w:pPr>
        <w:numPr>
          <w:ilvl w:val="0"/>
          <w:numId w:val="1002"/>
        </w:numPr>
        <w:pStyle w:val="Compact"/>
      </w:pPr>
      <w:r>
        <w:t xml:space="preserve">Surveys distributed to all 42 sitting judges at Kuala Lumpur High Court (response target: ≥70%)</w:t>
      </w:r>
    </w:p>
    <w:p>
      <w:pPr>
        <w:numPr>
          <w:ilvl w:val="0"/>
          <w:numId w:val="1002"/>
        </w:numPr>
        <w:pStyle w:val="Compact"/>
      </w:pPr>
      <w:r>
        <w:t xml:space="preserve">Public trust assessment via stratified random sampling of 1,200 Kuala Lumpur residents across ethnic groups (Bumiputera, Chinese, Indian)</w:t>
      </w:r>
    </w:p>
    <w:p>
      <w:pPr>
        <w:numPr>
          <w:ilvl w:val="0"/>
          <w:numId w:val="1002"/>
        </w:numPr>
        <w:pStyle w:val="Compact"/>
      </w:pPr>
      <w:r>
        <w:t xml:space="preserve">Data analyzed using SPSS for correlations between judicial practices and trust metrics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In-depth interviews with 25 judges, JAC members, and legal scholars in Kuala Lumpur</w:t>
      </w:r>
    </w:p>
    <w:p>
      <w:pPr>
        <w:numPr>
          <w:ilvl w:val="0"/>
          <w:numId w:val="1003"/>
        </w:numPr>
        <w:pStyle w:val="Compact"/>
      </w:pPr>
      <w:r>
        <w:t xml:space="preserve">Focus groups with community leaders from Petaling Jaya, Bukit Bintang, and Taman Tun Dr. Ismail</w:t>
      </w:r>
    </w:p>
    <w:p>
      <w:pPr>
        <w:numPr>
          <w:ilvl w:val="0"/>
          <w:numId w:val="1003"/>
        </w:numPr>
        <w:pStyle w:val="Compact"/>
      </w:pPr>
      <w:r>
        <w:t xml:space="preserve">Document analysis of 50 high-impact cases heard at KL High Court (2021–2023)</w:t>
      </w:r>
    </w:p>
    <w:bookmarkEnd w:id="25"/>
    <w:bookmarkStart w:id="26" w:name="phase-3-policy-co-creation-months-15-18"/>
    <w:p>
      <w:pPr>
        <w:pStyle w:val="Heading3"/>
      </w:pPr>
      <w:r>
        <w:t xml:space="preserve">Phase 3: Policy Co-Creation (Months 15-18)</w:t>
      </w:r>
    </w:p>
    <w:p>
      <w:pPr>
        <w:numPr>
          <w:ilvl w:val="0"/>
          <w:numId w:val="1004"/>
        </w:numPr>
        <w:pStyle w:val="Compact"/>
      </w:pPr>
      <w:r>
        <w:t xml:space="preserve">Workshop with Judicial Academy of Malaysia, Bar Council Kuala Lumpur, and Ministry of Law</w:t>
      </w:r>
    </w:p>
    <w:p>
      <w:pPr>
        <w:numPr>
          <w:ilvl w:val="0"/>
          <w:numId w:val="1004"/>
        </w:numPr>
        <w:pStyle w:val="Compact"/>
      </w:pPr>
      <w:r>
        <w:t xml:space="preserve">Development of context-specific integrity guidelines for Kuala Lumpur courts</w:t>
      </w:r>
    </w:p>
    <w:p>
      <w:pPr>
        <w:pStyle w:val="FirstParagraph"/>
      </w:pPr>
      <w:r>
        <w:rPr>
          <w:bCs/>
          <w:b/>
        </w:rPr>
        <w:t xml:space="preserve">Sampling Justification:</w:t>
      </w:r>
      <w:r>
        <w:t xml:space="preserve"> </w:t>
      </w:r>
      <w:r>
        <w:t xml:space="preserve">Kuala Lumpur’s status as Malaysia’s judicial hub (housing Federal Court and High Court) ensures findings reflect national priorities. The stratified public sample mirrors KL's demographic balance (68% Malay, 24% Chinese, 7% Indian), addressing Malaysia's multicultural reality.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key contributions to</w:t>
      </w:r>
      <w:r>
        <w:t xml:space="preserve"> </w:t>
      </w:r>
      <w:r>
        <w:rPr>
          <w:bCs/>
          <w:b/>
        </w:rPr>
        <w:t xml:space="preserve">Malaysia Kuala Lumpur</w:t>
      </w:r>
      <w:r>
        <w:t xml:space="preserve">'s legal ecosystem:</w:t>
      </w:r>
    </w:p>
    <w:p>
      <w:pPr>
        <w:numPr>
          <w:ilvl w:val="0"/>
          <w:numId w:val="1005"/>
        </w:numPr>
        <w:pStyle w:val="Compact"/>
      </w:pPr>
      <w:r>
        <w:rPr>
          <w:bCs/>
          <w:b/>
        </w:rPr>
        <w:t xml:space="preserve">Evidence-Based Policy Framework:</w:t>
      </w:r>
      <w:r>
        <w:t xml:space="preserve"> </w:t>
      </w:r>
      <w:r>
        <w:t xml:space="preserve">A tailored "Judicial Integrity Protocol" for KL courts addressing digital-era challenges, submitted to the Judicial Appointments Commission by Q1 2025.</w:t>
      </w:r>
    </w:p>
    <w:p>
      <w:pPr>
        <w:numPr>
          <w:ilvl w:val="0"/>
          <w:numId w:val="1005"/>
        </w:numPr>
        <w:pStyle w:val="Compact"/>
      </w:pPr>
      <w:r>
        <w:rPr>
          <w:bCs/>
          <w:b/>
        </w:rPr>
        <w:t xml:space="preserve">Public Trust Metrics:</w:t>
      </w:r>
      <w:r>
        <w:t xml:space="preserve"> </w:t>
      </w:r>
      <w:r>
        <w:t xml:space="preserve">A standardized index measuring judicial legitimacy in Malaysian urban contexts—filling a void left by international tools like the World Justice Project's framework that lack Malaysia-specific variables.</w:t>
      </w:r>
    </w:p>
    <w:p>
      <w:pPr>
        <w:numPr>
          <w:ilvl w:val="0"/>
          <w:numId w:val="1005"/>
        </w:numPr>
        <w:pStyle w:val="Compact"/>
      </w:pPr>
      <w:r>
        <w:rPr>
          <w:bCs/>
          <w:b/>
        </w:rPr>
        <w:t xml:space="preserve">National Model for Judicial Communication:</w:t>
      </w:r>
      <w:r>
        <w:t xml:space="preserve"> </w:t>
      </w:r>
      <w:r>
        <w:t xml:space="preserve">Recommendations for transparent verdict explanations, piloted in Kuala Lumpur before nationwide rollout, enhancing accessibility of justice for 7.5 million KL residents.</w:t>
      </w:r>
    </w:p>
    <w:p>
      <w:pPr>
        <w:pStyle w:val="FirstParagraph"/>
      </w:pPr>
      <w:r>
        <w:t xml:space="preserve">The significance extends beyond academia: Strengthening judicial credibility directly supports Malaysia's strategic goal of becoming a "High-Income Knowledge Economy" by 2025 (National Transformation Plan). In Kuala Lumpur—where legal disputes underpin business investments and social cohesion—the project offers actionable solutions to prevent judicial distrust from deterring foreign direct investment or fueling societal division.</w:t>
      </w:r>
    </w:p>
    <w:bookmarkEnd w:id="28"/>
    <w:bookmarkStart w:id="29" w:name="ethical-considerations"/>
    <w:p>
      <w:pPr>
        <w:pStyle w:val="Heading2"/>
      </w:pPr>
      <w:r>
        <w:t xml:space="preserve">7. Ethical Considerations</w:t>
      </w:r>
    </w:p>
    <w:p>
      <w:pPr>
        <w:pStyle w:val="FirstParagraph"/>
      </w:pPr>
      <w:r>
        <w:t xml:space="preserve">Adhering to the Malaysian National Bioethics Act (2001) and Universiti Malaya's Research Ethics Guidelines, this study will:</w:t>
      </w:r>
    </w:p>
    <w:p>
      <w:pPr>
        <w:numPr>
          <w:ilvl w:val="0"/>
          <w:numId w:val="1006"/>
        </w:numPr>
        <w:pStyle w:val="Compact"/>
      </w:pPr>
      <w:r>
        <w:t xml:space="preserve">Anonymize all judge participants per JAC confidentiality standards</w:t>
      </w:r>
    </w:p>
    <w:p>
      <w:pPr>
        <w:numPr>
          <w:ilvl w:val="0"/>
          <w:numId w:val="1006"/>
        </w:numPr>
        <w:pStyle w:val="Compact"/>
      </w:pPr>
      <w:r>
        <w:t xml:space="preserve">Obtain informed consent from all public respondents in Malay/English</w:t>
      </w:r>
    </w:p>
    <w:p>
      <w:pPr>
        <w:numPr>
          <w:ilvl w:val="0"/>
          <w:numId w:val="1006"/>
        </w:numPr>
        <w:pStyle w:val="Compact"/>
      </w:pPr>
      <w:r>
        <w:t xml:space="preserve">Ensure data storage compliance with Malaysia's Personal Data Protection Act (PDPA 2010)</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(MYR)</w:t>
            </w:r>
          </w:p>
        </w:tc>
      </w:tr>
      <w:tr>
        <w:tc>
          <w:tcPr/>
          <w:p>
            <w:pPr>
              <w:pStyle w:val="Compact"/>
              <w:jc w:val="left"/>
            </w:pPr>
            <w:r>
              <w:t xml:space="preserve">Fieldwork &amp; Data Collection</w:t>
            </w:r>
          </w:p>
        </w:tc>
        <w:tc>
          <w:tcPr/>
          <w:p>
            <w:pPr>
              <w:pStyle w:val="Compact"/>
              <w:jc w:val="left"/>
            </w:pPr>
            <w:r>
              <w:t xml:space="preserve">Months 1-12</w:t>
            </w:r>
          </w:p>
        </w:tc>
        <w:tc>
          <w:tcPr/>
          <w:p>
            <w:pPr>
              <w:pStyle w:val="Compact"/>
              <w:jc w:val="left"/>
            </w:pPr>
            <w:r>
              <w:t xml:space="preserve">85,000</w:t>
            </w:r>
          </w:p>
        </w:tc>
      </w:tr>
      <w:tr>
        <w:tc>
          <w:tcPr/>
          <w:p>
            <w:pPr>
              <w:pStyle w:val="Compact"/>
              <w:jc w:val="left"/>
            </w:pPr>
            <w:r>
              <w:t xml:space="preserve">Data Analysis &amp; Reporting</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bCs/>
                <w:b/>
              </w:rPr>
              <w:t xml:space="preserve">130,000 MYR</w:t>
            </w:r>
          </w:p>
        </w:tc>
      </w:tr>
    </w:tbl>
    <w:bookmarkEnd w:id="30"/>
    <w:bookmarkStart w:id="31" w:name="conclusion"/>
    <w:p>
      <w:pPr>
        <w:pStyle w:val="Heading2"/>
      </w:pPr>
      <w:r>
        <w:t xml:space="preserve">9. Conclusion</w:t>
      </w:r>
    </w:p>
    <w:p>
      <w:pPr>
        <w:pStyle w:val="FirstParagraph"/>
      </w:pPr>
      <w:r>
        <w:t xml:space="preserve">This Research Proposal directly addresses an urgent national priority: restoring public confidence in Malaysia's judiciary through rigorous investigation of judicial experiences within Kuala Lumpur—a microcosm of the nation's legal challenges. By centering</w:t>
      </w:r>
      <w:r>
        <w:t xml:space="preserve"> </w:t>
      </w:r>
      <w:r>
        <w:rPr>
          <w:bCs/>
          <w:b/>
        </w:rPr>
        <w:t xml:space="preserve">Judge</w:t>
      </w:r>
      <w:r>
        <w:t xml:space="preserve">s' voices and KL’s unique context, the study transcends theoretical discourse to produce implementable strategies for strengthening judicial integrity in</w:t>
      </w:r>
      <w:r>
        <w:t xml:space="preserve"> </w:t>
      </w:r>
      <w:r>
        <w:rPr>
          <w:bCs/>
          <w:b/>
        </w:rPr>
        <w:t xml:space="preserve">Malaysia Kuala Lumpur</w:t>
      </w:r>
      <w:r>
        <w:t xml:space="preserve">. The findings will equip policymakers with evidence to fortify Malaysia's constitutional democracy at a pivotal moment, ensuring justice remains accessible, impartial, and trusted by all citizens. As the nation strides toward sustainable development goals (SDGs), this research serves as a vital step toward realizing Justice 3.1: "Equal access to justice for all."</w:t>
      </w:r>
    </w:p>
    <w:bookmarkEnd w:id="31"/>
    <w:bookmarkStart w:id="32" w:name="references"/>
    <w:p>
      <w:pPr>
        <w:pStyle w:val="Heading2"/>
      </w:pPr>
      <w:r>
        <w:t xml:space="preserve">References</w:t>
      </w:r>
    </w:p>
    <w:p>
      <w:pPr>
        <w:numPr>
          <w:ilvl w:val="0"/>
          <w:numId w:val="1007"/>
        </w:numPr>
        <w:pStyle w:val="Compact"/>
      </w:pPr>
      <w:r>
        <w:t xml:space="preserve">Mohamad, A., et al. (2022). *Judicial Workload and Public Perception in Urban Malaysian Courts*. Journal of Legal Studies, 14(3), 112-130.</w:t>
      </w:r>
    </w:p>
    <w:p>
      <w:pPr>
        <w:numPr>
          <w:ilvl w:val="0"/>
          <w:numId w:val="1007"/>
        </w:numPr>
        <w:pStyle w:val="Compact"/>
      </w:pPr>
      <w:r>
        <w:t xml:space="preserve">Malaysian Bar Council. (2023). *Public Trust in Justice Survey*. Kuala Lumpur: MBC Publications.</w:t>
      </w:r>
    </w:p>
    <w:p>
      <w:pPr>
        <w:numPr>
          <w:ilvl w:val="0"/>
          <w:numId w:val="1007"/>
        </w:numPr>
        <w:pStyle w:val="Compact"/>
      </w:pPr>
      <w:r>
        <w:t xml:space="preserve">Chua, L., &amp; Lim, T. (2021). *Judicial Independence in Southeast Asia*. Asian Journal of Law and Society, 8(1), 45-67.</w:t>
      </w:r>
    </w:p>
    <w:p>
      <w:pPr>
        <w:numPr>
          <w:ilvl w:val="0"/>
          <w:numId w:val="1007"/>
        </w:numPr>
        <w:pStyle w:val="Compact"/>
      </w:pPr>
      <w:r>
        <w:t xml:space="preserve">Judicial Appointments Commission. (2023). *Annual Report on Judicial Conduct*. Putrajaya: JAC Malaysia.</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Public Trust in Malaysia's Kuala Lumpur Judiciary</dc:title>
  <dc:creator/>
  <dc:language>en</dc:language>
  <cp:keywords/>
  <dcterms:created xsi:type="dcterms:W3CDTF">2026-07-21T02:57:38Z</dcterms:created>
  <dcterms:modified xsi:type="dcterms:W3CDTF">2026-07-21T02:57:38Z</dcterms:modified>
</cp:coreProperties>
</file>

<file path=docProps/custom.xml><?xml version="1.0" encoding="utf-8"?>
<Properties xmlns="http://schemas.openxmlformats.org/officeDocument/2006/custom-properties" xmlns:vt="http://schemas.openxmlformats.org/officeDocument/2006/docPropsVTypes"/>
</file>