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Discretion</w:t>
      </w:r>
      <w:r>
        <w:t xml:space="preserve"> </w:t>
      </w:r>
      <w:r>
        <w:t xml:space="preserve">and</w:t>
      </w:r>
      <w:r>
        <w:t xml:space="preserve"> </w:t>
      </w:r>
      <w:r>
        <w:t xml:space="preserve">Community</w:t>
      </w:r>
      <w:r>
        <w:t xml:space="preserve"> </w:t>
      </w:r>
      <w:r>
        <w:t xml:space="preserve">Sentencing</w:t>
      </w:r>
      <w:r>
        <w:t xml:space="preserve"> </w:t>
      </w:r>
      <w:r>
        <w:t xml:space="preserve">Practices</w:t>
      </w:r>
      <w:r>
        <w:t xml:space="preserve"> </w:t>
      </w:r>
      <w:r>
        <w:t xml:space="preserve">Among</w:t>
      </w:r>
      <w:r>
        <w:t xml:space="preserve"> </w:t>
      </w:r>
      <w:r>
        <w:t xml:space="preserve">Judges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fa61aec9b86c34990cfb49c10b0e94957ba13d5"/>
    <w:p>
      <w:pPr>
        <w:pStyle w:val="Heading1"/>
      </w:pPr>
      <w:r>
        <w:t xml:space="preserve">Research Proposal: Judicial Discretion and Community Sentencing Practices Among Judges in New Zealand Auckland</w:t>
      </w:r>
    </w:p>
    <w:bookmarkStart w:id="20" w:name="introduction-and-background"/>
    <w:p>
      <w:pPr>
        <w:pStyle w:val="Heading2"/>
      </w:pPr>
      <w:r>
        <w:t xml:space="preserve">1. Introduction and Background</w:t>
      </w:r>
    </w:p>
    <w:p>
      <w:pPr>
        <w:pStyle w:val="FirstParagraph"/>
      </w:pPr>
      <w:r>
        <w:t xml:space="preserve">This Research Proposal examines the role of the</w:t>
      </w:r>
      <w:r>
        <w:t xml:space="preserve"> </w:t>
      </w:r>
      <w:r>
        <w:rPr>
          <w:bCs/>
          <w:b/>
        </w:rPr>
        <w:t xml:space="preserve">Judge</w:t>
      </w:r>
      <w:r>
        <w:t xml:space="preserve"> </w:t>
      </w:r>
      <w:r>
        <w:t xml:space="preserve">within the judicial system of New Zealand, with specific focus on sentencing practices in Auckland—a city representing 34% of New Zealand's population and facing complex socio-legal challenges. As New Zealand's largest urban center, Auckland's courts handle diverse cases ranging from minor offenses to serious criminal matters, making it a critical site for studying judicial decision-making. The research addresses a gap in understanding how</w:t>
      </w:r>
      <w:r>
        <w:t xml:space="preserve"> </w:t>
      </w:r>
      <w:r>
        <w:rPr>
          <w:bCs/>
          <w:b/>
        </w:rPr>
        <w:t xml:space="preserve">Judge</w:t>
      </w:r>
      <w:r>
        <w:t xml:space="preserve">s navigate statutory frameworks while incorporating community-specific factors like Māori cultural practices (tikanga Māori), socio-economic disparities, and victim impact statements. This study is timely given recent reforms in the New Zealand Sentencing Act 2002 and growing calls for restorative justice models in</w:t>
      </w:r>
      <w:r>
        <w:t xml:space="preserve"> </w:t>
      </w:r>
      <w:r>
        <w:rPr>
          <w:bCs/>
          <w:b/>
        </w:rPr>
        <w:t xml:space="preserve">New Zealand Auckland</w:t>
      </w:r>
      <w:r>
        <w:t xml:space="preserve">.</w:t>
      </w:r>
    </w:p>
    <w:bookmarkEnd w:id="20"/>
    <w:bookmarkStart w:id="21" w:name="problem-statement"/>
    <w:p>
      <w:pPr>
        <w:pStyle w:val="Heading2"/>
      </w:pPr>
      <w:r>
        <w:t xml:space="preserve">2. Problem Statement</w:t>
      </w:r>
    </w:p>
    <w:p>
      <w:pPr>
        <w:pStyle w:val="FirstParagraph"/>
      </w:pPr>
      <w:r>
        <w:t xml:space="preserve">Despite Auckland's demographic diversity, existing literature on judicial sentencing lacks granular analysis of how</w:t>
      </w:r>
      <w:r>
        <w:t xml:space="preserve"> </w:t>
      </w:r>
      <w:r>
        <w:rPr>
          <w:bCs/>
          <w:b/>
        </w:rPr>
        <w:t xml:space="preserve">Judge</w:t>
      </w:r>
      <w:r>
        <w:t xml:space="preserve">s apply community-oriented approaches across different court divisions. Current data from the New Zealand Ministry of Justice indicates inconsistent sentencing outcomes for similar offenses in Auckland compared to other regions, with potential disparities linked to ethnicity, socioeconomic status, and geographic location. This inconsistency raises concerns about equity in the justice system, particularly for vulnerable communities like Pacific Islander and Māori populations who constitute 40% of Auckland's population. Without evidence-based insights into judicial decision-making processes within</w:t>
      </w:r>
      <w:r>
        <w:t xml:space="preserve"> </w:t>
      </w:r>
      <w:r>
        <w:rPr>
          <w:bCs/>
          <w:b/>
        </w:rPr>
        <w:t xml:space="preserve">New Zealand Auckland</w:t>
      </w:r>
      <w:r>
        <w:t xml:space="preserve">, meaningful reforms cannot be implemented.</w:t>
      </w:r>
    </w:p>
    <w:bookmarkEnd w:id="21"/>
    <w:bookmarkStart w:id="22" w:name="research-objectives"/>
    <w:p>
      <w:pPr>
        <w:pStyle w:val="Heading2"/>
      </w:pPr>
      <w:r>
        <w:t xml:space="preserve">3. Research Objectives</w:t>
      </w:r>
    </w:p>
    <w:p>
      <w:pPr>
        <w:numPr>
          <w:ilvl w:val="0"/>
          <w:numId w:val="1001"/>
        </w:numPr>
        <w:pStyle w:val="Compact"/>
      </w:pPr>
      <w:r>
        <w:t xml:space="preserve">To analyze the factors influencing judicial discretion in community sentencing decisions among magistrates and district court judges in Auckland.</w:t>
      </w:r>
    </w:p>
    <w:p>
      <w:pPr>
        <w:numPr>
          <w:ilvl w:val="0"/>
          <w:numId w:val="1001"/>
        </w:numPr>
        <w:pStyle w:val="Compact"/>
      </w:pPr>
      <w:r>
        <w:t xml:space="preserve">To assess how tikanga Māori and cultural safety frameworks are integrated into sentencing practices by the Judge within Auckland's diverse courts.</w:t>
      </w:r>
    </w:p>
    <w:p>
      <w:pPr>
        <w:numPr>
          <w:ilvl w:val="0"/>
          <w:numId w:val="1001"/>
        </w:numPr>
        <w:pStyle w:val="Compact"/>
      </w:pPr>
      <w:r>
        <w:t xml:space="preserve">To evaluate the correlation between judicial approaches and post-sentencing outcomes (recidivism, victim satisfaction) in Auckland communities.</w:t>
      </w:r>
    </w:p>
    <w:p>
      <w:pPr>
        <w:numPr>
          <w:ilvl w:val="0"/>
          <w:numId w:val="1001"/>
        </w:numPr>
        <w:pStyle w:val="Compact"/>
      </w:pPr>
      <w:r>
        <w:t xml:space="preserve">To develop evidence-based recommendations for judicial training programs addressing systemic inequities identified in</w:t>
      </w:r>
      <w:r>
        <w:t xml:space="preserve"> </w:t>
      </w:r>
      <w:r>
        <w:rPr>
          <w:bCs/>
          <w:b/>
        </w:rPr>
        <w:t xml:space="preserve">New Zealand Auckland</w:t>
      </w:r>
      <w:r>
        <w:t xml:space="preserve">'s justice landscape.</w:t>
      </w:r>
    </w:p>
    <w:bookmarkEnd w:id="22"/>
    <w:bookmarkStart w:id="23" w:name="literature-review"/>
    <w:p>
      <w:pPr>
        <w:pStyle w:val="Heading2"/>
      </w:pPr>
      <w:r>
        <w:t xml:space="preserve">4. Literature Review</w:t>
      </w:r>
    </w:p>
    <w:p>
      <w:pPr>
        <w:pStyle w:val="FirstParagraph"/>
      </w:pPr>
      <w:r>
        <w:t xml:space="preserve">Existing scholarship on New Zealand judiciary (e.g., Dugard, 2018) emphasizes judicial independence but overlooks localized application of sentencing principles. International studies (e.g., Australian Institute of Criminology, 2020) show that community sentencing success hinges on judges' cultural competence—yet no research focuses specifically on</w:t>
      </w:r>
      <w:r>
        <w:t xml:space="preserve"> </w:t>
      </w:r>
      <w:r>
        <w:rPr>
          <w:bCs/>
          <w:b/>
        </w:rPr>
        <w:t xml:space="preserve">New Zealand Auckland</w:t>
      </w:r>
      <w:r>
        <w:t xml:space="preserve">'s unique context. Recent work by the New Zealand Law Foundation (2021) highlights "cultural safety" gaps in judicial training, particularly regarding Māori worldviews. This study bridges that gap by centering the</w:t>
      </w:r>
      <w:r>
        <w:t xml:space="preserve"> </w:t>
      </w:r>
      <w:r>
        <w:rPr>
          <w:bCs/>
          <w:b/>
        </w:rPr>
        <w:t xml:space="preserve">Judge</w:t>
      </w:r>
      <w:r>
        <w:t xml:space="preserve">'s perspective within Auckland's socio-legal ecosystem, where 70% of cases involve defendants from minority backgrounds (NZ Stats, 2023).</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analysis-months-1-4"/>
    <w:p>
      <w:pPr>
        <w:pStyle w:val="Heading3"/>
      </w:pPr>
      <w:r>
        <w:t xml:space="preserve">Phase 1: Quantitative Analysis (Months 1-4)</w:t>
      </w:r>
    </w:p>
    <w:p>
      <w:pPr>
        <w:pStyle w:val="FirstParagraph"/>
      </w:pPr>
      <w:r>
        <w:t xml:space="preserve">Collaborating with the Auckland District Court, we will analyze anonymized sentencing data (2019-2023) for 5,000 cases involving community-based sentences. Variables include defendant demographics, offense type, victim impact statements, and judicial discretion indicators (e.g., fines vs. rehabilitation programs). Statistical modeling will identify patterns linked to judicial decision-making.</w:t>
      </w:r>
    </w:p>
    <w:bookmarkEnd w:id="24"/>
    <w:bookmarkStart w:id="25" w:name="X9ea7ea34df251a15563585263995c5598309095"/>
    <w:p>
      <w:pPr>
        <w:pStyle w:val="Heading3"/>
      </w:pPr>
      <w:r>
        <w:t xml:space="preserve">Phase 2: Qualitative Interviews (Months 5-8)</w:t>
      </w:r>
    </w:p>
    <w:p>
      <w:pPr>
        <w:pStyle w:val="FirstParagraph"/>
      </w:pPr>
      <w:r>
        <w:t xml:space="preserve">We will conduct semi-structured interviews with 25 sitting judges from Auckland's Magistrates' and District Courts, including Māori and Pacific Islander judges. Questions will explore:</w:t>
      </w:r>
    </w:p>
    <w:p>
      <w:pPr>
        <w:numPr>
          <w:ilvl w:val="0"/>
          <w:numId w:val="1002"/>
        </w:numPr>
        <w:pStyle w:val="Compact"/>
      </w:pPr>
      <w:r>
        <w:t xml:space="preserve">How tikanga Māori influences sentencing in cases involving Māori defendants.</w:t>
      </w:r>
    </w:p>
    <w:p>
      <w:pPr>
        <w:numPr>
          <w:ilvl w:val="0"/>
          <w:numId w:val="1002"/>
        </w:numPr>
        <w:pStyle w:val="Compact"/>
      </w:pPr>
      <w:r>
        <w:t xml:space="preserve">Perceived challenges in balancing statutory requirements with community context.</w:t>
      </w:r>
    </w:p>
    <w:p>
      <w:pPr>
        <w:numPr>
          <w:ilvl w:val="0"/>
          <w:numId w:val="1002"/>
        </w:numPr>
        <w:pStyle w:val="Compact"/>
      </w:pPr>
      <w:r>
        <w:t xml:space="preserve">Experiences with cultural safety training and its impact on judicial practice.</w:t>
      </w:r>
    </w:p>
    <w:bookmarkEnd w:id="25"/>
    <w:bookmarkStart w:id="26" w:name="X635b4a01e85dff3a0714e5b11fd2cb437eb5f63"/>
    <w:p>
      <w:pPr>
        <w:pStyle w:val="Heading3"/>
      </w:pPr>
      <w:r>
        <w:t xml:space="preserve">Phase 3: Community Focus Groups (Months 9-10)</w:t>
      </w:r>
    </w:p>
    <w:p>
      <w:pPr>
        <w:pStyle w:val="FirstParagraph"/>
      </w:pPr>
      <w:r>
        <w:t xml:space="preserve">Engaging representatives from Auckland-based iwi (tribes), Pacific community organizations, and victim advocacy groups to contextualize judicial practices. This ensures findings reflect lived experiences beyond courtroom observations.</w:t>
      </w:r>
    </w:p>
    <w:p>
      <w:pPr>
        <w:pStyle w:val="BodyText"/>
      </w:pPr>
      <w:r>
        <w:rPr>
          <w:bCs/>
          <w:b/>
        </w:rPr>
        <w:t xml:space="preserve">Ethical Considerations:</w:t>
      </w:r>
      <w:r>
        <w:t xml:space="preserve"> </w:t>
      </w:r>
      <w:r>
        <w:t xml:space="preserve">All data will be anonymized per the Privacy Act 2020. Participant consent will be obtained through the University of Auckland's Human Participants Ethics Committee, with special protocols for Māori participants adhering to Te Tiriti o Waitangi principles.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comprehensive dataset mapping judicial discretion patterns across Auckland's courts.</w:t>
      </w:r>
    </w:p>
    <w:p>
      <w:pPr>
        <w:numPr>
          <w:ilvl w:val="0"/>
          <w:numId w:val="1003"/>
        </w:numPr>
        <w:pStyle w:val="Compact"/>
      </w:pPr>
      <w:r>
        <w:t xml:space="preserve">Culturally responsive sentencing guidelines tailored for the Judge in diverse Auckland contexts.</w:t>
      </w:r>
    </w:p>
    <w:p>
      <w:pPr>
        <w:numPr>
          <w:ilvl w:val="0"/>
          <w:numId w:val="1003"/>
        </w:numPr>
        <w:pStyle w:val="Compact"/>
      </w:pPr>
      <w:r>
        <w:t xml:space="preserve">Policy briefs for the New Zealand Ministry of Justice and Judicial Council addressing training gaps.</w:t>
      </w:r>
    </w:p>
    <w:p>
      <w:pPr>
        <w:pStyle w:val="FirstParagraph"/>
      </w:pPr>
      <w:r>
        <w:t xml:space="preserve">The significance extends beyond academia: By centering the</w:t>
      </w:r>
      <w:r>
        <w:t xml:space="preserve"> </w:t>
      </w:r>
      <w:r>
        <w:rPr>
          <w:bCs/>
          <w:b/>
        </w:rPr>
        <w:t xml:space="preserve">Judge</w:t>
      </w:r>
      <w:r>
        <w:t xml:space="preserve">'s role within</w:t>
      </w:r>
      <w:r>
        <w:t xml:space="preserve"> </w:t>
      </w:r>
      <w:r>
        <w:rPr>
          <w:bCs/>
          <w:b/>
        </w:rPr>
        <w:t xml:space="preserve">New Zealand Auckland</w:t>
      </w:r>
      <w:r>
        <w:t xml:space="preserve">'s justice system, this study directly supports the government's 2023 "Justice for All" initiative, which prioritizes reducing Māori over-incarceration. Findings will empower judges with evidence to make consistent, equitable decisions—particularly vital in a city where 1 in 4 Auckland residents have experienced crime (Stats NZ, 2023).</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 (Quantitative)</w:t>
      </w:r>
    </w:p>
    <w:p>
      <w:pPr>
        <w:pStyle w:val="BodyText"/>
      </w:pPr>
      <w:r>
        <w:t xml:space="preserve">1-4</w:t>
      </w:r>
    </w:p>
    <w:p>
      <w:pPr>
        <w:pStyle w:val="BodyText"/>
      </w:pPr>
      <w:r>
        <w:t xml:space="preserve">Sentencing pattern report; Statistical model validation</w:t>
      </w:r>
    </w:p>
    <w:p>
      <w:pPr>
        <w:pStyle w:val="BodyText"/>
      </w:pPr>
      <w:r>
        <w:t xml:space="preserve">Judge Interviews &amp; Analysis</w:t>
      </w:r>
    </w:p>
    <w:p>
      <w:pPr>
        <w:pStyle w:val="BodyText"/>
      </w:pPr>
      <w:r>
        <w:t xml:space="preserve">5-8</w:t>
      </w:r>
    </w:p>
    <w:p>
      <w:pPr>
        <w:pStyle w:val="BodyText"/>
      </w:pPr>
      <w:r>
        <w:t xml:space="preserve">&lt; td&gt;Thematic coding of judicial perspectives</w:t>
      </w:r>
    </w:p>
    <w:p>
      <w:pPr>
        <w:pStyle w:val="BodyText"/>
      </w:pPr>
      <w:r>
        <w:t xml:space="preserve">&lt; td &gt; Community Engagement &amp; Synthesis &lt; td &gt; 9-10 &lt; td &gt; Co-designed recommendations document</w:t>
      </w:r>
    </w:p>
    <w:bookmarkEnd w:id="29"/>
    <w:bookmarkStart w:id="30" w:name="conclusion"/>
    <w:p>
      <w:pPr>
        <w:pStyle w:val="Heading2"/>
      </w:pPr>
      <w:r>
        <w:t xml:space="preserve">8. Conclusion</w:t>
      </w:r>
    </w:p>
    <w:p>
      <w:pPr>
        <w:pStyle w:val="FirstParagraph"/>
      </w:pPr>
      <w:r>
        <w:t xml:space="preserve">This Research Proposal establishes a critical framework for understanding how the</w:t>
      </w:r>
      <w:r>
        <w:t xml:space="preserve"> </w:t>
      </w:r>
      <w:r>
        <w:rPr>
          <w:bCs/>
          <w:b/>
        </w:rPr>
        <w:t xml:space="preserve">Judge</w:t>
      </w:r>
      <w:r>
        <w:t xml:space="preserve"> </w:t>
      </w:r>
      <w:r>
        <w:t xml:space="preserve">operates within the dynamic social fabric of New Zealand Auckland—a city where cultural diversity, rapid urbanization, and historical inequities converge. By rigorously examining judicial discretion through both data and lived experience, this study will provide actionable insights to strengthen justice outcomes across New Zealand. The findings will directly inform judicial education programs at the Judicial Council of New Zealand and support the Ministry of Justice's commitment to a responsive, culturally safe legal system in Auckland and beyond. As Auckland continues to grow as New Zealand's economic hub, ensuring its judiciary reflects community needs is not merely beneficial—it is essential for a just society.</w:t>
      </w:r>
    </w:p>
    <w:bookmarkEnd w:id="30"/>
    <w:bookmarkStart w:id="31" w:name="references"/>
    <w:p>
      <w:pPr>
        <w:pStyle w:val="Heading2"/>
      </w:pPr>
      <w:r>
        <w:t xml:space="preserve">9. References</w:t>
      </w:r>
    </w:p>
    <w:p>
      <w:pPr>
        <w:pStyle w:val="FirstParagraph"/>
      </w:pPr>
      <w:r>
        <w:t xml:space="preserve">Dugard, J. (2018). *New Zealand’s Judicial System: Independence and Accountability*. Otago University Press.</w:t>
      </w:r>
      <w:r>
        <w:br/>
      </w:r>
      <w:r>
        <w:t xml:space="preserve">New Zealand Law Foundation. (2021). *Cultural Safety in the Courts: A Survey of Judicial Perspectives*.</w:t>
      </w:r>
      <w:r>
        <w:br/>
      </w:r>
      <w:r>
        <w:t xml:space="preserve">Stats NZ. (2023). *Auckland Community Wellbeing Report*. Ministry for Culture &amp; Heritage.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Discretion and Community Sentencing Practices Among Judges in New Zealand Auckland</dc:title>
  <dc:creator/>
  <dc:language>en</dc:language>
  <cp:keywords/>
  <dcterms:created xsi:type="dcterms:W3CDTF">2026-07-24T05:00:54Z</dcterms:created>
  <dcterms:modified xsi:type="dcterms:W3CDTF">2026-07-24T05:00:54Z</dcterms:modified>
</cp:coreProperties>
</file>

<file path=docProps/custom.xml><?xml version="1.0" encoding="utf-8"?>
<Properties xmlns="http://schemas.openxmlformats.org/officeDocument/2006/custom-properties" xmlns:vt="http://schemas.openxmlformats.org/officeDocument/2006/docPropsVTypes"/>
</file>