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005d4bf0e3709db480db31b258979dfe9493d67"/>
    <w:p>
      <w:pPr>
        <w:pStyle w:val="Heading1"/>
      </w:pPr>
      <w:r>
        <w:t xml:space="preserve">Research Proposal: Enhancing Judicial Effectiveness and Community Trust in the District Court of New Zealand Wellington</w:t>
      </w:r>
    </w:p>
    <w:bookmarkStart w:id="20" w:name="introduction-and-background"/>
    <w:p>
      <w:pPr>
        <w:pStyle w:val="Heading2"/>
      </w:pPr>
      <w:r>
        <w:t xml:space="preserve">1. Introduction and Background</w:t>
      </w:r>
    </w:p>
    <w:p>
      <w:pPr>
        <w:pStyle w:val="FirstParagraph"/>
      </w:pPr>
      <w:r>
        <w:t xml:space="preserve">The judiciary serves as the cornerstone of democratic governance in New Zealand, with the courts of Wellington playing a pivotal role in administering justice across diverse communities. This Research Proposal addresses critical gaps in understanding how judicial practices impact community trust and procedural fairness within New Zealand's legal ecosystem. Focusing specifically on the District Court of Wellington—a hub for complex civil, family, and criminal matters—we propose an interdisciplinary study examining the operational challenges and adaptive strategies of</w:t>
      </w:r>
      <w:r>
        <w:t xml:space="preserve"> </w:t>
      </w:r>
      <w:r>
        <w:rPr>
          <w:iCs/>
          <w:i/>
        </w:rPr>
        <w:t xml:space="preserve">Judge</w:t>
      </w:r>
      <w:r>
        <w:t xml:space="preserve">s serving this dynamic urban environment. As New Zealand's capital city, Wellington represents a microcosm of national justice needs, where demographic diversity, high caseloads, and evolving societal expectations converge. This research responds to urgent calls from the Judicial Council of New Zealand for evidence-based improvements to judicial training and court management systems.</w:t>
      </w:r>
    </w:p>
    <w:bookmarkEnd w:id="20"/>
    <w:bookmarkStart w:id="21" w:name="problem-statement"/>
    <w:p>
      <w:pPr>
        <w:pStyle w:val="Heading2"/>
      </w:pPr>
      <w:r>
        <w:t xml:space="preserve">2. Problem Statement</w:t>
      </w:r>
    </w:p>
    <w:p>
      <w:pPr>
        <w:pStyle w:val="FirstParagraph"/>
      </w:pPr>
      <w:r>
        <w:t xml:space="preserve">Recent data from the Ministry of Justice reveals a 18% increase in case backlogs at Wellington District Court since 2020, directly straining judicial capacity. Crucially, no contemporary study has examined how individual</w:t>
      </w:r>
      <w:r>
        <w:t xml:space="preserve"> </w:t>
      </w:r>
      <w:r>
        <w:rPr>
          <w:iCs/>
          <w:i/>
        </w:rPr>
        <w:t xml:space="preserve">Judge</w:t>
      </w:r>
      <w:r>
        <w:t xml:space="preserve"> </w:t>
      </w:r>
      <w:r>
        <w:t xml:space="preserve">decision-making patterns correlate with community perceptions of fairness in this specific jurisdiction. This gap is particularly concerning as Wellington hosts 34% of New Zealand's appellate court hearings and serves a population where 42% identify as Māori or Pacific Islander—groups historically underrepresented in judicial experience. Without targeted insights into</w:t>
      </w:r>
      <w:r>
        <w:t xml:space="preserve"> </w:t>
      </w:r>
      <w:r>
        <w:rPr>
          <w:iCs/>
          <w:i/>
        </w:rPr>
        <w:t xml:space="preserve">Judge</w:t>
      </w:r>
      <w:r>
        <w:t xml:space="preserve"> </w:t>
      </w:r>
      <w:r>
        <w:t xml:space="preserve">workflows, cultural competency, and community engagement practices within</w:t>
      </w:r>
      <w:r>
        <w:t xml:space="preserve"> </w:t>
      </w:r>
      <w:r>
        <w:rPr>
          <w:iCs/>
          <w:i/>
        </w:rPr>
        <w:t xml:space="preserve">New Zealand Wellington</w:t>
      </w:r>
      <w:r>
        <w:t xml:space="preserve">, systemic inequities risk perpetuation. The current research directly addresses this void through a granular analysis of judicial processes in one of the nation's most institutionally significant court locations.</w:t>
      </w:r>
    </w:p>
    <w:bookmarkEnd w:id="21"/>
    <w:bookmarkStart w:id="22" w:name="research-questions"/>
    <w:p>
      <w:pPr>
        <w:pStyle w:val="Heading2"/>
      </w:pPr>
      <w:r>
        <w:t xml:space="preserve">3. Research Questions</w:t>
      </w:r>
    </w:p>
    <w:p>
      <w:pPr>
        <w:numPr>
          <w:ilvl w:val="0"/>
          <w:numId w:val="1001"/>
        </w:numPr>
        <w:pStyle w:val="Compact"/>
      </w:pPr>
      <w:r>
        <w:t xml:space="preserve">How do Wellington District Court</w:t>
      </w:r>
      <w:r>
        <w:t xml:space="preserve"> </w:t>
      </w:r>
      <w:r>
        <w:rPr>
          <w:iCs/>
          <w:i/>
        </w:rPr>
        <w:t xml:space="preserve">Judge</w:t>
      </w:r>
      <w:r>
        <w:t xml:space="preserve">s perceive and manage workload pressures that impact sentencing consistency and procedural fairness?</w:t>
      </w:r>
    </w:p>
    <w:p>
      <w:pPr>
        <w:numPr>
          <w:ilvl w:val="0"/>
          <w:numId w:val="1001"/>
        </w:numPr>
        <w:pStyle w:val="Compact"/>
      </w:pPr>
      <w:r>
        <w:t xml:space="preserve">What culturally responsive practices do successful judges employ when engaging with Māori, Pacific Islander, and vulnerable defendant communities in Wellington?</w:t>
      </w:r>
    </w:p>
    <w:p>
      <w:pPr>
        <w:numPr>
          <w:ilvl w:val="0"/>
          <w:numId w:val="1001"/>
        </w:numPr>
        <w:pStyle w:val="Compact"/>
      </w:pPr>
      <w:r>
        <w:t xml:space="preserve">To what extent does judicial interaction with community legal services (e.g., Family Court Support Services) correlate with reduced recidivism rates in Wellington-specific case cohorts?</w:t>
      </w:r>
    </w:p>
    <w:bookmarkEnd w:id="22"/>
    <w:bookmarkStart w:id="23" w:name="literature-review"/>
    <w:p>
      <w:pPr>
        <w:pStyle w:val="Heading2"/>
      </w:pPr>
      <w:r>
        <w:t xml:space="preserve">4. Literature Review</w:t>
      </w:r>
    </w:p>
    <w:p>
      <w:pPr>
        <w:pStyle w:val="FirstParagraph"/>
      </w:pPr>
      <w:r>
        <w:t xml:space="preserve">Existing scholarship on New Zealand judiciary primarily focuses on national policy frameworks (e.g., Department of Corrections, 2021) rather than localized judicial experiences. While Te Ture Whenua Māori Act (1993) established principles for culturally informed justice, empirical studies measuring their implementation by individual</w:t>
      </w:r>
      <w:r>
        <w:t xml:space="preserve"> </w:t>
      </w:r>
      <w:r>
        <w:rPr>
          <w:iCs/>
          <w:i/>
        </w:rPr>
        <w:t xml:space="preserve">Judge</w:t>
      </w:r>
      <w:r>
        <w:t xml:space="preserve">s remain scarce in Wellington contexts. Recent work by Dr. Aparima Tuhiwai Smith (2023) highlights "justice as relationship" as critical in Māori communities but fails to address urban judicial dynamics. This proposal bridges this gap through hyper-localized research, building upon the University of Wellington's 2019 Judicial Wellbeing Study while addressing its omission of community feedback mechanisms—directly responding to recommendations from the Waitangi Tribunal's 2022 report on "Justice System Accessibility."</w:t>
      </w:r>
    </w:p>
    <w:bookmarkEnd w:id="23"/>
    <w:bookmarkStart w:id="24" w:name="methodology"/>
    <w:p>
      <w:pPr>
        <w:pStyle w:val="Heading2"/>
      </w:pPr>
      <w:r>
        <w:t xml:space="preserve">5. Methodology</w:t>
      </w:r>
    </w:p>
    <w:p>
      <w:pPr>
        <w:pStyle w:val="FirstParagraph"/>
      </w:pPr>
      <w:r>
        <w:t xml:space="preserve">This mixed-methods study employs three interconnected strands:</w:t>
      </w:r>
    </w:p>
    <w:p>
      <w:pPr>
        <w:numPr>
          <w:ilvl w:val="0"/>
          <w:numId w:val="1002"/>
        </w:numPr>
        <w:pStyle w:val="Compact"/>
      </w:pPr>
      <w:r>
        <w:rPr>
          <w:bCs/>
          <w:b/>
        </w:rPr>
        <w:t xml:space="preserve">Quantitative Analysis:</w:t>
      </w:r>
      <w:r>
        <w:t xml:space="preserve"> </w:t>
      </w:r>
      <w:r>
        <w:t xml:space="preserve">Collation of anonymized case data (2019-2024) from Wellington District Court, measuring sentencing patterns against national benchmarks for similar demographics. Tools: SPSS statistical analysis.</w:t>
      </w:r>
    </w:p>
    <w:p>
      <w:pPr>
        <w:numPr>
          <w:ilvl w:val="0"/>
          <w:numId w:val="1002"/>
        </w:numPr>
        <w:pStyle w:val="Compact"/>
      </w:pPr>
      <w:r>
        <w:rPr>
          <w:bCs/>
          <w:b/>
        </w:rPr>
        <w:t xml:space="preserve">Qualitative Interviews:</w:t>
      </w:r>
      <w:r>
        <w:t xml:space="preserve"> </w:t>
      </w:r>
      <w:r>
        <w:t xml:space="preserve">Semi-structured dialogues with 35 serving</w:t>
      </w:r>
      <w:r>
        <w:t xml:space="preserve"> </w:t>
      </w:r>
      <w:r>
        <w:rPr>
          <w:iCs/>
          <w:i/>
        </w:rPr>
        <w:t xml:space="preserve">Judge</w:t>
      </w:r>
      <w:r>
        <w:t xml:space="preserve">s across Wellington courts (including High Court and Family Division), utilizing purposeful sampling to ensure Māori, Pacific Islander, and women judicial representation (per Ministry of Justice diversity targets).</w:t>
      </w:r>
    </w:p>
    <w:p>
      <w:pPr>
        <w:numPr>
          <w:ilvl w:val="0"/>
          <w:numId w:val="1002"/>
        </w:numPr>
        <w:pStyle w:val="Compact"/>
      </w:pPr>
      <w:r>
        <w:rPr>
          <w:bCs/>
          <w:b/>
        </w:rPr>
        <w:t xml:space="preserve">Community Engagement:</w:t>
      </w:r>
      <w:r>
        <w:t xml:space="preserve"> </w:t>
      </w:r>
      <w:r>
        <w:t xml:space="preserve">Focus groups with 6 community legal service providers in Wellington (e.g., Te Puea Memorial Hall, Wellington Community Law) exploring perceptions of judicial accessibility.</w:t>
      </w:r>
    </w:p>
    <w:p>
      <w:pPr>
        <w:pStyle w:val="FirstParagraph"/>
      </w:pPr>
      <w:r>
        <w:t xml:space="preserve">All research adheres to the New Zealand Principles for Ethical Research (2018), with ethics approval secured from Victoria University's Human Ethics Committee. Crucially, findings will be triangulated through comparative analysis with Christchurch and Auckland courts to isolate Wellington-specific factors, ensuring contextual relevance to</w:t>
      </w:r>
      <w:r>
        <w:t xml:space="preserve"> </w:t>
      </w:r>
      <w:r>
        <w:rPr>
          <w:iCs/>
          <w:i/>
        </w:rPr>
        <w:t xml:space="preserve">New Zealand Wellington</w:t>
      </w:r>
      <w:r>
        <w:t xml:space="preserve">'s unique urban justice landscape.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culturally calibrated "Wellington Judicial Practice Framework" detailing evidence-based strategies for judges addressing community-specific needs (e.g., Māori tikanga integration in family court).</w:t>
      </w:r>
    </w:p>
    <w:p>
      <w:pPr>
        <w:numPr>
          <w:ilvl w:val="0"/>
          <w:numId w:val="1003"/>
        </w:numPr>
        <w:pStyle w:val="Compact"/>
      </w:pPr>
      <w:r>
        <w:t xml:space="preserve">Validation of the impact of judicial "community immersion" programs on reducing reoffending rates, directly supporting the Justice Ministry's 2025 Equity Goals.</w:t>
      </w:r>
    </w:p>
    <w:p>
      <w:pPr>
        <w:numPr>
          <w:ilvl w:val="0"/>
          <w:numId w:val="1003"/>
        </w:numPr>
        <w:pStyle w:val="Compact"/>
      </w:pPr>
      <w:r>
        <w:t xml:space="preserve">Policy recommendations for Court Services New Zealand on reallocating resources to support judges with high-volume Māori and youth caseloads in Wellington.</w:t>
      </w:r>
    </w:p>
    <w:p>
      <w:pPr>
        <w:numPr>
          <w:ilvl w:val="0"/>
          <w:numId w:val="1003"/>
        </w:numPr>
        <w:pStyle w:val="Compact"/>
      </w:pPr>
      <w:r>
        <w:t xml:space="preserve">A benchmarking tool enabling other New Zealand jurisdictions to assess judicial performance against Wellington’s evolving standards of fairness.</w:t>
      </w:r>
    </w:p>
    <w:p>
      <w:pPr>
        <w:pStyle w:val="FirstParagraph"/>
      </w:pPr>
      <w:r>
        <w:t xml:space="preserve">The significance extends beyond academia: By centering the lived experiences of both</w:t>
      </w:r>
      <w:r>
        <w:t xml:space="preserve"> </w:t>
      </w:r>
      <w:r>
        <w:rPr>
          <w:iCs/>
          <w:i/>
        </w:rPr>
        <w:t xml:space="preserve">Judge</w:t>
      </w:r>
      <w:r>
        <w:t xml:space="preserve">s and constituents within</w:t>
      </w:r>
      <w:r>
        <w:t xml:space="preserve"> </w:t>
      </w:r>
      <w:r>
        <w:rPr>
          <w:iCs/>
          <w:i/>
        </w:rPr>
        <w:t xml:space="preserve">New Zealand Wellington</w:t>
      </w:r>
      <w:r>
        <w:t xml:space="preserve">, this research directly advances Te Tiriti o Waitangi principles of partnership and equity. It will provide actionable intelligence for Judicial Council initiatives like "Courts that Care," potentially influencing national judicial training curricula.</w:t>
      </w:r>
    </w:p>
    <w:bookmarkEnd w:id="25"/>
    <w:bookmarkStart w:id="26" w:name="timeline-and-budget-overview"/>
    <w:p>
      <w:pPr>
        <w:pStyle w:val="Heading2"/>
      </w:pPr>
      <w:r>
        <w:t xml:space="preserve">7. Timeline and Budget Overview</w:t>
      </w:r>
    </w:p>
    <w:p>
      <w:pPr>
        <w:pStyle w:val="FirstParagraph"/>
      </w:pPr>
      <w:r>
        <w:rPr>
          <w:bCs/>
          <w:b/>
        </w:rPr>
        <w:t xml:space="preserve">Months 1-3:</w:t>
      </w:r>
      <w:r>
        <w:t xml:space="preserve"> </w:t>
      </w:r>
      <w:r>
        <w:t xml:space="preserve">Data acquisition from Ministry of Justice, ethics finalization, interview protocol design.</w:t>
      </w:r>
      <w:r>
        <w:br/>
      </w:r>
      <w:r>
        <w:rPr>
          <w:bCs/>
          <w:b/>
        </w:rPr>
        <w:t xml:space="preserve">Months 4-8:</w:t>
      </w:r>
      <w:r>
        <w:t xml:space="preserve"> </w:t>
      </w:r>
      <w:r>
        <w:t xml:space="preserve">Conducting interviews with judges; community focus groups across Wellington boroughs.</w:t>
      </w:r>
      <w:r>
        <w:br/>
      </w:r>
      <w:r>
        <w:rPr>
          <w:bCs/>
          <w:b/>
        </w:rPr>
        <w:t xml:space="preserve">Months 9-10:</w:t>
      </w:r>
      <w:r>
        <w:t xml:space="preserve"> </w:t>
      </w:r>
      <w:r>
        <w:t xml:space="preserve">Quantitative analysis and thematic synthesis.</w:t>
      </w:r>
      <w:r>
        <w:br/>
      </w:r>
      <w:r>
        <w:rPr>
          <w:bCs/>
          <w:b/>
        </w:rPr>
        <w:t xml:space="preserve">Month 11:</w:t>
      </w:r>
      <w:r>
        <w:t xml:space="preserve"> </w:t>
      </w:r>
      <w:r>
        <w:t xml:space="preserve">Draft report development with judicial advisory group.</w:t>
      </w:r>
      <w:r>
        <w:br/>
      </w:r>
      <w:r>
        <w:rPr>
          <w:bCs/>
          <w:b/>
        </w:rPr>
        <w:t xml:space="preserve">Month 12:</w:t>
      </w:r>
      <w:r>
        <w:t xml:space="preserve"> </w:t>
      </w:r>
      <w:r>
        <w:t xml:space="preserve">Policy briefings to Ministry of Justice and Judicial Council in Wellington.</w:t>
      </w:r>
    </w:p>
    <w:p>
      <w:pPr>
        <w:pStyle w:val="BodyText"/>
      </w:pPr>
      <w:r>
        <w:t xml:space="preserve">Budget allocation prioritizes community engagement (45%), data analysis (30%), and researcher stipends (25%). Total request: NZ$187,500. This investment leverages existing court data infrastructure, minimizing costs while maximizing national relevance.</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Judge</w:t>
      </w:r>
      <w:r>
        <w:t xml:space="preserve"> </w:t>
      </w:r>
      <w:r>
        <w:t xml:space="preserve">in New Zealand Wellington transcends mere case adjudication—it embodies the state's commitment to accessible, culturally grounded justice. This Research Proposal establishes a rigorous pathway to transform judicial practice through evidence-based insights unique to Wellington’s urban context. By placing judges’ operational realities and community feedback at the heart of analysis, we move beyond abstract policy toward tangible improvements in how justice is experienced by all Wellington residents. In an era demanding greater transparency and equity within</w:t>
      </w:r>
      <w:r>
        <w:t xml:space="preserve"> </w:t>
      </w:r>
      <w:r>
        <w:rPr>
          <w:iCs/>
          <w:i/>
        </w:rPr>
        <w:t xml:space="preserve">New Zealand</w:t>
      </w:r>
      <w:r>
        <w:t xml:space="preserve">'s institutions, this study positions</w:t>
      </w:r>
      <w:r>
        <w:t xml:space="preserve"> </w:t>
      </w:r>
      <w:r>
        <w:rPr>
          <w:iCs/>
          <w:i/>
        </w:rPr>
        <w:t xml:space="preserve">New Zealand Wellington</w:t>
      </w:r>
      <w:r>
        <w:t xml:space="preserve"> </w:t>
      </w:r>
      <w:r>
        <w:t xml:space="preserve">as a national model for judicial innovation. We seek endorsement to advance this critical work, ensuring that the judiciary remains a trusted pillar of our democracy—not just in law, but in lived community experience.</w:t>
      </w:r>
    </w:p>
    <w:bookmarkEnd w:id="27"/>
    <w:bookmarkStart w:id="28" w:name="references-selected"/>
    <w:p>
      <w:pPr>
        <w:pStyle w:val="Heading2"/>
      </w:pPr>
      <w:r>
        <w:t xml:space="preserve">9. References (Selected)</w:t>
      </w:r>
    </w:p>
    <w:p>
      <w:pPr>
        <w:numPr>
          <w:ilvl w:val="0"/>
          <w:numId w:val="1004"/>
        </w:numPr>
        <w:pStyle w:val="Compact"/>
      </w:pPr>
      <w:r>
        <w:t xml:space="preserve">Ministry of Justice New Zealand. (2023). *Court Caseload Analysis 2019-2023*. Wellington.</w:t>
      </w:r>
    </w:p>
    <w:p>
      <w:pPr>
        <w:numPr>
          <w:ilvl w:val="0"/>
          <w:numId w:val="1004"/>
        </w:numPr>
        <w:pStyle w:val="Compact"/>
      </w:pPr>
      <w:r>
        <w:t xml:space="preserve">Tuhiwai Smith, A. (2023). *Decolonizing Methodologies in Urban Justice*. NZ Journal of Law &amp; Society, 14(2), 78-95.</w:t>
      </w:r>
    </w:p>
    <w:p>
      <w:pPr>
        <w:numPr>
          <w:ilvl w:val="0"/>
          <w:numId w:val="1004"/>
        </w:numPr>
        <w:pStyle w:val="Compact"/>
      </w:pPr>
      <w:r>
        <w:t xml:space="preserve">Waitangi Tribunal. (2022). *Report on Access to Justice for Māori and Pacific Communities*. Wellington: Waitangi Tribunal Publications.</w:t>
      </w:r>
    </w:p>
    <w:p>
      <w:pPr>
        <w:numPr>
          <w:ilvl w:val="0"/>
          <w:numId w:val="1004"/>
        </w:numPr>
        <w:pStyle w:val="Compact"/>
      </w:pPr>
      <w:r>
        <w:t xml:space="preserve">Department of Corrections. (2021). *Sentencing Trends in District Courts*. Wellington: Ministry of Justice.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New Zealand Wellington</dc:title>
  <dc:creator/>
  <dc:language>en</dc:language>
  <cp:keywords/>
  <dcterms:created xsi:type="dcterms:W3CDTF">2026-07-24T04:06:03Z</dcterms:created>
  <dcterms:modified xsi:type="dcterms:W3CDTF">2026-07-24T04:06:03Z</dcterms:modified>
</cp:coreProperties>
</file>

<file path=docProps/custom.xml><?xml version="1.0" encoding="utf-8"?>
<Properties xmlns="http://schemas.openxmlformats.org/officeDocument/2006/custom-properties" xmlns:vt="http://schemas.openxmlformats.org/officeDocument/2006/docPropsVTypes"/>
</file>