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Judicial</w:t>
      </w:r>
      <w:r>
        <w:t xml:space="preserve"> </w:t>
      </w:r>
      <w:r>
        <w:t xml:space="preserve">Independence</w:t>
      </w:r>
      <w:r>
        <w:t xml:space="preserve"> </w:t>
      </w:r>
      <w:r>
        <w:t xml:space="preserve">and</w:t>
      </w:r>
      <w:r>
        <w:t xml:space="preserve"> </w:t>
      </w:r>
      <w:r>
        <w:t xml:space="preserve">Public</w:t>
      </w:r>
      <w:r>
        <w:t xml:space="preserve"> </w:t>
      </w:r>
      <w:r>
        <w:t xml:space="preserve">Trust</w:t>
      </w:r>
      <w:r>
        <w:t xml:space="preserve"> </w:t>
      </w:r>
      <w:r>
        <w:t xml:space="preserve">in</w:t>
      </w:r>
      <w:r>
        <w:t xml:space="preserve"> </w:t>
      </w:r>
      <w:r>
        <w:t xml:space="preserve">Russia</w:t>
      </w:r>
      <w:r>
        <w:t xml:space="preserve"> </w:t>
      </w:r>
      <w:r>
        <w:t xml:space="preserve">Moscow</w:t>
      </w:r>
    </w:p>
    <w:bookmarkStart w:id="30" w:name="X4b5a09909f7bdf45d81e952343b9feafeeb0964"/>
    <w:p>
      <w:pPr>
        <w:pStyle w:val="Heading1"/>
      </w:pPr>
      <w:r>
        <w:t xml:space="preserve">Research Proposal: Judicial Independence and Public Trust in the Context of Russia Moscow</w:t>
      </w:r>
    </w:p>
    <w:bookmarkStart w:id="20" w:name="introduction-and-background"/>
    <w:p>
      <w:pPr>
        <w:pStyle w:val="Heading2"/>
      </w:pPr>
      <w:r>
        <w:t xml:space="preserve">Introduction and Background</w:t>
      </w:r>
    </w:p>
    <w:p>
      <w:pPr>
        <w:pStyle w:val="FirstParagraph"/>
      </w:pPr>
      <w:r>
        <w:t xml:space="preserve">The judiciary constitutes a cornerstone of democratic governance, yet its efficacy remains contested within Russia's legal landscape. In Moscow—the political, economic, and judicial epicenter of the Russian Federation—this tension manifests acutely. As the seat of the Supreme Court of Russia, federal courts, and pivotal constitutional bodies, Moscow's judicial institutions serve as both a microcosm and catalyst for national legal developments. This research proposal addresses a critical gap in understanding how</w:t>
      </w:r>
      <w:r>
        <w:t xml:space="preserve"> </w:t>
      </w:r>
      <w:r>
        <w:rPr>
          <w:bCs/>
          <w:b/>
        </w:rPr>
        <w:t xml:space="preserve">Judge</w:t>
      </w:r>
      <w:r>
        <w:t xml:space="preserve">s operate within Russia's evolving judicial framework, particularly amid heightened state control over the legal system since 2014. The study will investigate whether</w:t>
      </w:r>
      <w:r>
        <w:t xml:space="preserve"> </w:t>
      </w:r>
      <w:r>
        <w:rPr>
          <w:iCs/>
          <w:i/>
        </w:rPr>
        <w:t xml:space="preserve">judicial independence</w:t>
      </w:r>
      <w:r>
        <w:t xml:space="preserve">, a foundational principle of the Russian Constitution (Art. 122), is upheld in Moscow courts—where high-stakes political cases, complex commercial disputes, and human rights challenges converge daily.</w:t>
      </w:r>
    </w:p>
    <w:bookmarkEnd w:id="20"/>
    <w:bookmarkStart w:id="21" w:name="problem-statement"/>
    <w:p>
      <w:pPr>
        <w:pStyle w:val="Heading2"/>
      </w:pPr>
      <w:r>
        <w:t xml:space="preserve">Problem Statement</w:t>
      </w:r>
    </w:p>
    <w:p>
      <w:pPr>
        <w:pStyle w:val="FirstParagraph"/>
      </w:pPr>
      <w:r>
        <w:t xml:space="preserve">Evidence suggests systemic erosion of judicial autonomy in Russia. International watchdogs like the Council of Europe and Human Rights Watch have documented instances of politically motivated rulings in Moscow courts. For example, cases involving opposition figures (e.g., Navalny's trial) or dissenting NGOs (e.g., Memorial Foundation dissolution) reveal patterns where</w:t>
      </w:r>
      <w:r>
        <w:t xml:space="preserve"> </w:t>
      </w:r>
      <w:r>
        <w:rPr>
          <w:bCs/>
          <w:b/>
        </w:rPr>
        <w:t xml:space="preserve">Judge</w:t>
      </w:r>
      <w:r>
        <w:t xml:space="preserve"> </w:t>
      </w:r>
      <w:r>
        <w:t xml:space="preserve">decisions appear influenced by external pressures. Concurrently, public trust in courts has plummeted; a 2023 Levada Center survey reported only 17% of Muscovites view the judiciary as impartial. This crisis undermines Russia's rule of law and its international standing. Yet, no comprehensive empirical study has examined</w:t>
      </w:r>
      <w:r>
        <w:t xml:space="preserve"> </w:t>
      </w:r>
      <w:r>
        <w:rPr>
          <w:bCs/>
          <w:b/>
        </w:rPr>
        <w:t xml:space="preserve">Judge</w:t>
      </w:r>
      <w:r>
        <w:t xml:space="preserve"> </w:t>
      </w:r>
      <w:r>
        <w:t xml:space="preserve">behavior specifically within Moscow’s courts—a context where federal oversight is most concentrated and public scrutiny is highest. This research directly addresses that void.</w:t>
      </w:r>
    </w:p>
    <w:bookmarkEnd w:id="21"/>
    <w:bookmarkStart w:id="22" w:name="literature-review"/>
    <w:p>
      <w:pPr>
        <w:pStyle w:val="Heading2"/>
      </w:pPr>
      <w:r>
        <w:t xml:space="preserve">Literature Review</w:t>
      </w:r>
    </w:p>
    <w:p>
      <w:pPr>
        <w:pStyle w:val="FirstParagraph"/>
      </w:pPr>
      <w:r>
        <w:t xml:space="preserve">Existing scholarship on Russian judiciary focuses broadly on systemic issues (e.g., Kalyuzhnaya, 2019) or historical transitions (e.g., Semyonov, 2016). However, studies neglect Moscow's unique role as the "judicial capital," where judges navigate dual pressures: federal directives from the Judicial Council of Russia and local political expectations. Recent works by Kolesnikova (2021) on judicial career paths highlight Moscow's elite courts as training grounds for national leadership—yet omit how this influences impartiality. Crucially, no research has analyzed Moscow-based</w:t>
      </w:r>
      <w:r>
        <w:t xml:space="preserve"> </w:t>
      </w:r>
      <w:r>
        <w:rPr>
          <w:bCs/>
          <w:b/>
        </w:rPr>
        <w:t xml:space="preserve">Judge</w:t>
      </w:r>
      <w:r>
        <w:t xml:space="preserve">s’ perspectives through the lens of public trust metrics or comparative institutional practices. This proposal bridges that gap by centering Moscow’s judiciary as the critical site for evaluating Russia's judicial health.</w:t>
      </w:r>
    </w:p>
    <w:bookmarkEnd w:id="22"/>
    <w:bookmarkStart w:id="23" w:name="research-objectives-and-questions"/>
    <w:p>
      <w:pPr>
        <w:pStyle w:val="Heading2"/>
      </w:pPr>
      <w:r>
        <w:t xml:space="preserve">Research Objectives and Questions</w:t>
      </w:r>
    </w:p>
    <w:p>
      <w:pPr>
        <w:pStyle w:val="FirstParagraph"/>
      </w:pPr>
      <w:r>
        <w:t xml:space="preserve">This study pursues three interconnected objectives:</w:t>
      </w:r>
    </w:p>
    <w:p>
      <w:pPr>
        <w:numPr>
          <w:ilvl w:val="0"/>
          <w:numId w:val="1001"/>
        </w:numPr>
        <w:pStyle w:val="Compact"/>
      </w:pPr>
      <w:r>
        <w:t xml:space="preserve">To quantify the prevalence of perceived political influence on case outcomes among judges in Moscow courts (e.g., district, regional, and federal-level courts).</w:t>
      </w:r>
    </w:p>
    <w:p>
      <w:pPr>
        <w:numPr>
          <w:ilvl w:val="0"/>
          <w:numId w:val="1001"/>
        </w:numPr>
        <w:pStyle w:val="Compact"/>
      </w:pPr>
      <w:r>
        <w:t xml:space="preserve">To assess public confidence in judicial fairness through a stratified survey of Moscovite citizens across demographic groups.</w:t>
      </w:r>
    </w:p>
    <w:p>
      <w:pPr>
        <w:numPr>
          <w:ilvl w:val="0"/>
          <w:numId w:val="1001"/>
        </w:numPr>
        <w:pStyle w:val="Compact"/>
      </w:pPr>
      <w:r>
        <w:t xml:space="preserve">To develop actionable recommendations for enhancing judicial independence within Russia’s Moscow-centric legal ecosystem.</w:t>
      </w:r>
    </w:p>
    <w:p>
      <w:pPr>
        <w:pStyle w:val="FirstParagraph"/>
      </w:pPr>
      <w:r>
        <w:t xml:space="preserve">Key research questions include:</w:t>
      </w:r>
    </w:p>
    <w:p>
      <w:pPr>
        <w:numPr>
          <w:ilvl w:val="0"/>
          <w:numId w:val="1002"/>
        </w:numPr>
        <w:pStyle w:val="Compact"/>
      </w:pPr>
      <w:r>
        <w:t xml:space="preserve">How do judges in Moscow perceive constraints on their decision-making autonomy compared to other Russian regions?</w:t>
      </w:r>
    </w:p>
    <w:p>
      <w:pPr>
        <w:numPr>
          <w:ilvl w:val="0"/>
          <w:numId w:val="1002"/>
        </w:numPr>
        <w:pStyle w:val="Compact"/>
      </w:pPr>
      <w:r>
        <w:t xml:space="preserve">Which institutional mechanisms (e.g., judicial councils, political appointments) most significantly impact perceived impartiality?</w:t>
      </w:r>
    </w:p>
    <w:p>
      <w:pPr>
        <w:numPr>
          <w:ilvl w:val="0"/>
          <w:numId w:val="1002"/>
        </w:numPr>
        <w:pStyle w:val="Compact"/>
      </w:pPr>
      <w:r>
        <w:t xml:space="preserve">To what extent does public distrust correlate with specific case types (political, commercial, civil rights) in Moscow courts?</w:t>
      </w:r>
    </w:p>
    <w:bookmarkEnd w:id="23"/>
    <w:bookmarkStart w:id="26" w:name="methodology"/>
    <w:p>
      <w:pPr>
        <w:pStyle w:val="Heading2"/>
      </w:pPr>
      <w:r>
        <w:t xml:space="preserve">Methodology</w:t>
      </w:r>
    </w:p>
    <w:p>
      <w:pPr>
        <w:pStyle w:val="FirstParagraph"/>
      </w:pPr>
      <w:r>
        <w:t xml:space="preserve">A mixed-methods approach will ensure robust findings:</w:t>
      </w:r>
    </w:p>
    <w:bookmarkStart w:id="24" w:name="quantitative-component"/>
    <w:p>
      <w:pPr>
        <w:pStyle w:val="Heading3"/>
      </w:pPr>
      <w:r>
        <w:t xml:space="preserve">Quantitative Component</w:t>
      </w:r>
    </w:p>
    <w:p>
      <w:pPr>
        <w:numPr>
          <w:ilvl w:val="0"/>
          <w:numId w:val="1003"/>
        </w:numPr>
        <w:pStyle w:val="Compact"/>
      </w:pPr>
      <w:r>
        <w:rPr>
          <w:bCs/>
          <w:b/>
        </w:rPr>
        <w:t xml:space="preserve">Survey of Judges (n=150):</w:t>
      </w:r>
      <w:r>
        <w:t xml:space="preserve"> </w:t>
      </w:r>
      <w:r>
        <w:t xml:space="preserve">Stratified random sampling across Moscow’s 12 district courts, targeting judges with 5+ years’ experience. Variables include perceived independence on a Likert scale, case types handled, and exposure to political pressure indicators.</w:t>
      </w:r>
    </w:p>
    <w:p>
      <w:pPr>
        <w:numPr>
          <w:ilvl w:val="0"/>
          <w:numId w:val="1003"/>
        </w:numPr>
        <w:pStyle w:val="Compact"/>
      </w:pPr>
      <w:r>
        <w:rPr>
          <w:bCs/>
          <w:b/>
        </w:rPr>
        <w:t xml:space="preserve">Public Opinion Poll (n=1,200):</w:t>
      </w:r>
      <w:r>
        <w:t xml:space="preserve"> </w:t>
      </w:r>
      <w:r>
        <w:t xml:space="preserve">Representative sampling of Moscow residents (age 18–75), measuring trust in courts via scenario-based questions (e.g., "How likely would you be to trust a judge ruling against a government official?"). Demographics will be weighted for accuracy.</w:t>
      </w:r>
    </w:p>
    <w:bookmarkEnd w:id="24"/>
    <w:bookmarkStart w:id="25" w:name="qualitative-component"/>
    <w:p>
      <w:pPr>
        <w:pStyle w:val="Heading3"/>
      </w:pPr>
      <w:r>
        <w:t xml:space="preserve">Qualitative Component</w:t>
      </w:r>
    </w:p>
    <w:p>
      <w:pPr>
        <w:numPr>
          <w:ilvl w:val="0"/>
          <w:numId w:val="1004"/>
        </w:numPr>
        <w:pStyle w:val="Compact"/>
      </w:pPr>
      <w:r>
        <w:rPr>
          <w:bCs/>
          <w:b/>
        </w:rPr>
        <w:t xml:space="preserve">Elite Interviews (n=25):</w:t>
      </w:r>
      <w:r>
        <w:t xml:space="preserve"> </w:t>
      </w:r>
      <w:r>
        <w:t xml:space="preserve">Semi-structured interviews with judges, prosecutors, legal scholars at Moscow universities (e.g., Moscow State University), and civil society representatives. Focus: "Decision-making pressures" and institutional barriers.</w:t>
      </w:r>
    </w:p>
    <w:p>
      <w:pPr>
        <w:numPr>
          <w:ilvl w:val="0"/>
          <w:numId w:val="1004"/>
        </w:numPr>
        <w:pStyle w:val="Compact"/>
      </w:pPr>
      <w:r>
        <w:rPr>
          <w:bCs/>
          <w:b/>
        </w:rPr>
        <w:t xml:space="preserve">Case Analysis:</w:t>
      </w:r>
      <w:r>
        <w:t xml:space="preserve"> </w:t>
      </w:r>
      <w:r>
        <w:t xml:space="preserve">Thematic coding of 30 high-profile Moscow court rulings (2020–2023) for linguistic markers of political influence (e.g., references to state interests, vague legal justifications).</w:t>
      </w:r>
    </w:p>
    <w:p>
      <w:pPr>
        <w:pStyle w:val="FirstParagraph"/>
      </w:pPr>
      <w:r>
        <w:t xml:space="preserve">Data collection will occur over 14 months, adhering strictly to Russian ethics guidelines. All participants will remain anonymous; surveys will be administered via encrypted platforms approved by Moscow’s Independent Research Ethics Board.</w:t>
      </w:r>
    </w:p>
    <w:bookmarkEnd w:id="25"/>
    <w:bookmarkEnd w:id="26"/>
    <w:bookmarkStart w:id="27" w:name="expected-outcomes-and-significance"/>
    <w:p>
      <w:pPr>
        <w:pStyle w:val="Heading2"/>
      </w:pPr>
      <w:r>
        <w:t xml:space="preserve">Expected Outcomes and Significance</w:t>
      </w:r>
    </w:p>
    <w:p>
      <w:pPr>
        <w:pStyle w:val="FirstParagraph"/>
      </w:pPr>
      <w:r>
        <w:t xml:space="preserve">We anticipate three key contributions:</w:t>
      </w:r>
    </w:p>
    <w:p>
      <w:pPr>
        <w:numPr>
          <w:ilvl w:val="0"/>
          <w:numId w:val="1005"/>
        </w:numPr>
        <w:pStyle w:val="Compact"/>
      </w:pPr>
      <w:r>
        <w:rPr>
          <w:bCs/>
          <w:b/>
        </w:rPr>
        <w:t xml:space="preserve">Empirical Evidence of Judicial Erosion:</w:t>
      </w:r>
      <w:r>
        <w:t xml:space="preserve"> </w:t>
      </w:r>
      <w:r>
        <w:t xml:space="preserve">Quantifiable data on how Moscow judges navigate autonomy constraints—filling a void in Russia-focused legal scholarship.</w:t>
      </w:r>
    </w:p>
    <w:p>
      <w:pPr>
        <w:numPr>
          <w:ilvl w:val="0"/>
          <w:numId w:val="1005"/>
        </w:numPr>
        <w:pStyle w:val="Compact"/>
      </w:pPr>
      <w:r>
        <w:rPr>
          <w:bCs/>
          <w:b/>
        </w:rPr>
        <w:t xml:space="preserve">Policy Blueprint for Reform:</w:t>
      </w:r>
      <w:r>
        <w:t xml:space="preserve"> </w:t>
      </w:r>
      <w:r>
        <w:t xml:space="preserve">Tailored recommendations for strengthening judicial independence, such as enhancing judge selection transparency or creating independent oversight bodies within Moscow’s court system. These proposals will target the Russian Ministry of Justice and Judicial Council of Russia.</w:t>
      </w:r>
    </w:p>
    <w:p>
      <w:pPr>
        <w:numPr>
          <w:ilvl w:val="0"/>
          <w:numId w:val="1005"/>
        </w:numPr>
        <w:pStyle w:val="Compact"/>
      </w:pPr>
      <w:r>
        <w:rPr>
          <w:bCs/>
          <w:b/>
        </w:rPr>
        <w:t xml:space="preserve">Global Relevance:</w:t>
      </w:r>
      <w:r>
        <w:t xml:space="preserve"> </w:t>
      </w:r>
      <w:r>
        <w:t xml:space="preserve">Findings on "judicial capture" in authoritarian contexts will inform comparative studies in similar systems (e.g., Hungary, Turkey) and assist international bodies like the Venice Commission.</w:t>
      </w:r>
    </w:p>
    <w:p>
      <w:pPr>
        <w:pStyle w:val="FirstParagraph"/>
      </w:pPr>
      <w:r>
        <w:t xml:space="preserve">This project directly serves the mission of advancing justice in</w:t>
      </w:r>
      <w:r>
        <w:t xml:space="preserve"> </w:t>
      </w:r>
      <w:r>
        <w:rPr>
          <w:bCs/>
          <w:b/>
        </w:rPr>
        <w:t xml:space="preserve">Russia Moscow</w:t>
      </w:r>
      <w:r>
        <w:t xml:space="preserve">. By centering on a city where judicial power is concentrated yet vulnerable, it moves beyond abstract debates to offer concrete pathways for reform. Crucially, it recognizes that sustainable change begins with understanding how individual</w:t>
      </w:r>
      <w:r>
        <w:t xml:space="preserve"> </w:t>
      </w:r>
      <w:r>
        <w:rPr>
          <w:bCs/>
          <w:b/>
        </w:rPr>
        <w:t xml:space="preserve">Judge</w:t>
      </w:r>
      <w:r>
        <w:t xml:space="preserve">s—often operating under immense pressure—uphold or compromise the rule of law.</w:t>
      </w:r>
    </w:p>
    <w:bookmarkEnd w:id="27"/>
    <w:bookmarkStart w:id="28" w:name="timeline-and-resources"/>
    <w:p>
      <w:pPr>
        <w:pStyle w:val="Heading2"/>
      </w:pPr>
      <w:r>
        <w:t xml:space="preserve">Timeline and Resources</w:t>
      </w:r>
    </w:p>
    <w:p>
      <w:pPr>
        <w:pStyle w:val="FirstParagraph"/>
      </w:pPr>
      <w:r>
        <w:t xml:space="preserve">Phase</w:t>
      </w:r>
    </w:p>
    <w:p>
      <w:pPr>
        <w:pStyle w:val="BodyText"/>
      </w:pPr>
      <w:r>
        <w:t xml:space="preserve">Duration</w:t>
      </w:r>
    </w:p>
    <w:p>
      <w:pPr>
        <w:pStyle w:val="BodyText"/>
      </w:pPr>
      <w:r>
        <w:t xml:space="preserve">Key Activities</w:t>
      </w:r>
    </w:p>
    <w:p>
      <w:pPr>
        <w:pStyle w:val="BodyText"/>
      </w:pPr>
      <w:r>
        <w:t xml:space="preserve">Preparation &amp; Ethics Approval</w:t>
      </w:r>
    </w:p>
    <w:p>
      <w:pPr>
        <w:pStyle w:val="BodyText"/>
      </w:pPr>
      <w:r>
        <w:t xml:space="preserve">Months 1-2</w:t>
      </w:r>
    </w:p>
    <w:p>
      <w:pPr>
        <w:pStyle w:val="BodyText"/>
      </w:pPr>
      <w:r>
        <w:t xml:space="preserve">Literature review, survey design, ethics committee submission (Moscow-based)</w:t>
      </w:r>
    </w:p>
    <w:p>
      <w:pPr>
        <w:pStyle w:val="BodyText"/>
      </w:pPr>
      <w:r>
        <w:t xml:space="preserve">Data Collection: Quantitative</w:t>
      </w:r>
    </w:p>
    <w:p>
      <w:pPr>
        <w:pStyle w:val="BodyText"/>
      </w:pPr>
      <w:r>
        <w:t xml:space="preserve">Months 3-8</w:t>
      </w:r>
    </w:p>
    <w:p>
      <w:pPr>
        <w:pStyle w:val="BodyText"/>
      </w:pPr>
      <w:r>
        <w:t xml:space="preserve">Survey distribution to judges/public; case documentation</w:t>
      </w:r>
    </w:p>
    <w:p>
      <w:pPr>
        <w:pStyle w:val="BodyText"/>
      </w:pPr>
      <w:r>
        <w:t xml:space="preserve">Data Collection: Qualitative</w:t>
      </w:r>
    </w:p>
    <w:p>
      <w:pPr>
        <w:pStyle w:val="BodyText"/>
      </w:pPr>
      <w:r>
        <w:t xml:space="preserve">Months 6-10</w:t>
      </w:r>
    </w:p>
    <w:p>
      <w:pPr>
        <w:pStyle w:val="BodyText"/>
      </w:pPr>
      <w:r>
        <w:t xml:space="preserve">Interviews with judicial elites; document analysis</w:t>
      </w:r>
    </w:p>
    <w:p>
      <w:pPr>
        <w:pStyle w:val="BodyText"/>
      </w:pPr>
      <w:r>
        <w:t xml:space="preserve">Data Analysis &amp; Reporting</w:t>
      </w:r>
    </w:p>
    <w:p>
      <w:pPr>
        <w:pStyle w:val="BodyText"/>
      </w:pPr>
      <w:r>
        <w:t xml:space="preserve">Months 11-14</w:t>
      </w:r>
    </w:p>
    <w:p>
      <w:pPr>
        <w:pStyle w:val="BodyText"/>
      </w:pPr>
      <w:r>
        <w:t xml:space="preserve">Statistical processing, thematic coding, draft report drafting</w:t>
      </w:r>
    </w:p>
    <w:bookmarkEnd w:id="28"/>
    <w:bookmarkStart w:id="29" w:name="Xc5e20479a8097daf62e2770efef9016e462edbe"/>
    <w:p>
      <w:pPr>
        <w:pStyle w:val="Heading2"/>
      </w:pPr>
      <w:r>
        <w:t xml:space="preserve">Conclusion: The Imperative for Study in Russia Moscow</w:t>
      </w:r>
    </w:p>
    <w:p>
      <w:pPr>
        <w:pStyle w:val="FirstParagraph"/>
      </w:pPr>
      <w:r>
        <w:t xml:space="preserve">The judiciary’s credibility is non-negotiable for Russia’s future stability. In</w:t>
      </w:r>
      <w:r>
        <w:t xml:space="preserve"> </w:t>
      </w:r>
      <w:r>
        <w:rPr>
          <w:bCs/>
          <w:b/>
        </w:rPr>
        <w:t xml:space="preserve">Russia Moscow</w:t>
      </w:r>
      <w:r>
        <w:t xml:space="preserve">, where legal decisions carry disproportionate weight—shaping business climates, civil liberties, and state legitimacy—the role of the</w:t>
      </w:r>
      <w:r>
        <w:t xml:space="preserve"> </w:t>
      </w:r>
      <w:r>
        <w:rPr>
          <w:bCs/>
          <w:b/>
        </w:rPr>
        <w:t xml:space="preserve">Judge</w:t>
      </w:r>
      <w:r>
        <w:t xml:space="preserve"> </w:t>
      </w:r>
      <w:r>
        <w:t xml:space="preserve">transcends individual cases to define societal norms. This research will not merely document challenges but illuminate a path toward a judiciary that serves all citizens, not just political interests. As Moscow continues to navigate its complex relationship with global governance standards (e.g., Council of Europe membership), this study provides the empirical foundation for meaningful reform. Without addressing judicial independence at its nerve center—in</w:t>
      </w:r>
      <w:r>
        <w:t xml:space="preserve"> </w:t>
      </w:r>
      <w:r>
        <w:rPr>
          <w:bCs/>
          <w:b/>
        </w:rPr>
        <w:t xml:space="preserve">Russia Moscow</w:t>
      </w:r>
      <w:r>
        <w:t xml:space="preserve">—any claims of legal modernization remain superficial. This proposal, therefore, represents a timely and necessary intervention in the heart of Russia’s justice system.</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Judicial Independence and Public Trust in Russia Moscow</dc:title>
  <dc:creator/>
  <dc:language>en</dc:language>
  <cp:keywords/>
  <dcterms:created xsi:type="dcterms:W3CDTF">2025-12-09T16:03:58Z</dcterms:created>
  <dcterms:modified xsi:type="dcterms:W3CDTF">2025-12-09T16:03:58Z</dcterms:modified>
</cp:coreProperties>
</file>

<file path=docProps/custom.xml><?xml version="1.0" encoding="utf-8"?>
<Properties xmlns="http://schemas.openxmlformats.org/officeDocument/2006/custom-properties" xmlns:vt="http://schemas.openxmlformats.org/officeDocument/2006/docPropsVTypes"/>
</file>