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Effectiveness</w:t>
      </w:r>
      <w:r>
        <w:t xml:space="preserve"> </w:t>
      </w:r>
      <w:r>
        <w:t xml:space="preserve">for</w:t>
      </w:r>
      <w:r>
        <w:t xml:space="preserve"> </w:t>
      </w:r>
      <w:r>
        <w:t xml:space="preserve">Judges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9a7afa6baed7e373d9eb7543d70c2e4e142862e"/>
    <w:p>
      <w:pPr>
        <w:pStyle w:val="Heading1"/>
      </w:pPr>
      <w:r>
        <w:t xml:space="preserve">Research Proposal: Advancing Judicial Excellence for Judges in Jeddah, Saudi Arabia under Vision 2030</w:t>
      </w:r>
    </w:p>
    <w:bookmarkStart w:id="20" w:name="X7d3939d1cb50b011ead4b259c6cfaeceee61e46"/>
    <w:p>
      <w:pPr>
        <w:pStyle w:val="Heading2"/>
      </w:pPr>
      <w:r>
        <w:t xml:space="preserve">I. Introduction and Contextual Background</w:t>
      </w:r>
    </w:p>
    <w:p>
      <w:pPr>
        <w:pStyle w:val="FirstParagraph"/>
      </w:pPr>
      <w:r>
        <w:t xml:space="preserve">The Kingdom of Saudi Arabia's transformative Vision 2030 initiative places significant emphasis on modernizing the justice sector to foster economic growth, attract foreign investment, and enhance public trust in governance. Jeddah, as the nation's primary gateway for international trade and pilgrimage (Hajj), hosts a complex judicial ecosystem handling commercial disputes, family matters, criminal cases, and international legal affairs. The</w:t>
      </w:r>
      <w:r>
        <w:t xml:space="preserve"> </w:t>
      </w:r>
      <w:r>
        <w:rPr>
          <w:iCs/>
          <w:i/>
        </w:rPr>
        <w:t xml:space="preserve">Research Proposal</w:t>
      </w:r>
      <w:r>
        <w:t xml:space="preserve"> </w:t>
      </w:r>
      <w:r>
        <w:t xml:space="preserve">presented here specifically examines the operational challenges faced by</w:t>
      </w:r>
      <w:r>
        <w:t xml:space="preserve"> </w:t>
      </w:r>
      <w:r>
        <w:rPr>
          <w:bCs/>
          <w:b/>
        </w:rPr>
        <w:t xml:space="preserve">Judge</w:t>
      </w:r>
      <w:r>
        <w:t xml:space="preserve">s within Jeddah's court system. This study directly addresses a critical gap in Saudi Arabia's judicial development strategy: the need for evidence-based frameworks to improve judicial efficiency, impartiality, and public accessibility in one of the Kingdom's most dynamically evolving urban centers. As the legal landscape evolves under the National Strategy for Justice 2030 (NSJ), understanding the lived experience of</w:t>
      </w:r>
      <w:r>
        <w:t xml:space="preserve"> </w:t>
      </w:r>
      <w:r>
        <w:rPr>
          <w:bCs/>
          <w:b/>
        </w:rPr>
        <w:t xml:space="preserve">Judge</w:t>
      </w:r>
      <w:r>
        <w:t xml:space="preserve">s in Jeddah is paramount for sustainable reform.</w:t>
      </w:r>
    </w:p>
    <w:bookmarkEnd w:id="20"/>
    <w:bookmarkStart w:id="21" w:name="ii.-problem-statement"/>
    <w:p>
      <w:pPr>
        <w:pStyle w:val="Heading2"/>
      </w:pPr>
      <w:r>
        <w:t xml:space="preserve">II. Problem Statement</w:t>
      </w:r>
    </w:p>
    <w:p>
      <w:pPr>
        <w:pStyle w:val="FirstParagraph"/>
      </w:pPr>
      <w:r>
        <w:t xml:space="preserve">Despite substantial reforms, Jeddah's judiciary encounters persistent challenges impacting its effectiveness. High case backlogs (estimated at 35% across key courts in 2023), inconsistent procedural application, and evolving societal expectations present significant hurdles for</w:t>
      </w:r>
      <w:r>
        <w:t xml:space="preserve"> </w:t>
      </w:r>
      <w:r>
        <w:rPr>
          <w:bCs/>
          <w:b/>
        </w:rPr>
        <w:t xml:space="preserve">Judge</w:t>
      </w:r>
      <w:r>
        <w:t xml:space="preserve">s. These pressures are exacerbated by the unique demands of Jeddah: a city of over 4 million residents with immense cross-cultural legal interactions, a surge in commercial litigation due to its port economy, and increasing participation of women as judges (a landmark shift under Vision 2030). Current training programs often lack context-specific modules addressing Jeddah's distinct judicial environment. Consequently, there is an urgent need for actionable insights into how</w:t>
      </w:r>
      <w:r>
        <w:t xml:space="preserve"> </w:t>
      </w:r>
      <w:r>
        <w:rPr>
          <w:bCs/>
          <w:b/>
        </w:rPr>
        <w:t xml:space="preserve">Judge</w:t>
      </w:r>
      <w:r>
        <w:t xml:space="preserve">s navigate these complexities to deliver justice aligned with both Islamic legal principles (Sharia) and modern procedural standards, directly contributing to Saudi Arabia's socio-economic goals.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operational challenges faced by</w:t>
      </w:r>
      <w:r>
        <w:t xml:space="preserve"> </w:t>
      </w:r>
      <w:r>
        <w:rPr>
          <w:bCs/>
          <w:b/>
        </w:rPr>
        <w:t xml:space="preserve">Judge</w:t>
      </w:r>
      <w:r>
        <w:t xml:space="preserve">s in Jeddah’s courts (including Commercial, Civil, Criminal, and Family Courts).</w:t>
      </w:r>
    </w:p>
    <w:p>
      <w:pPr>
        <w:numPr>
          <w:ilvl w:val="0"/>
          <w:numId w:val="1001"/>
        </w:numPr>
        <w:pStyle w:val="Compact"/>
      </w:pPr>
      <w:r>
        <w:t xml:space="preserve">To evaluate the effectiveness of current judicial training curricula for Jeddah-specific contexts and identify critical gaps.</w:t>
      </w:r>
    </w:p>
    <w:p>
      <w:pPr>
        <w:numPr>
          <w:ilvl w:val="0"/>
          <w:numId w:val="1001"/>
        </w:numPr>
        <w:pStyle w:val="Compact"/>
      </w:pPr>
      <w:r>
        <w:t xml:space="preserve">To analyze how socio-cultural dynamics unique to Jeddah (e.g., expatriate population integration, pilgrimage-related cases) impact judicial decision-making processes.</w:t>
      </w:r>
    </w:p>
    <w:p>
      <w:pPr>
        <w:numPr>
          <w:ilvl w:val="0"/>
          <w:numId w:val="1001"/>
        </w:numPr>
        <w:pStyle w:val="Compact"/>
      </w:pPr>
      <w:r>
        <w:t xml:space="preserve">To develop a practical, evidence-based framework for enhancing judicial efficiency and public perception of justice in Jeddah, directly supporting Saudi Arabia's Vision 2030 objectives.</w:t>
      </w:r>
    </w:p>
    <w:bookmarkEnd w:id="22"/>
    <w:bookmarkStart w:id="23" w:name="iv.-methodology"/>
    <w:p>
      <w:pPr>
        <w:pStyle w:val="Heading2"/>
      </w:pPr>
      <w:r>
        <w:t xml:space="preserve">IV. Methodology</w:t>
      </w:r>
    </w:p>
    <w:p>
      <w:pPr>
        <w:pStyle w:val="FirstParagraph"/>
      </w:pPr>
      <w:r>
        <w:t xml:space="preserve">This</w:t>
      </w:r>
      <w:r>
        <w:t xml:space="preserve"> </w:t>
      </w:r>
      <w:r>
        <w:rPr>
          <w:iCs/>
          <w:i/>
        </w:rPr>
        <w:t xml:space="preserve">Research Proposal</w:t>
      </w:r>
      <w:r>
        <w:t xml:space="preserve"> </w:t>
      </w:r>
      <w:r>
        <w:t xml:space="preserve">employs a mixed-methods approach, ensuring rigor and contextual relevance for the Saudi context:</w:t>
      </w:r>
    </w:p>
    <w:p>
      <w:pPr>
        <w:numPr>
          <w:ilvl w:val="0"/>
          <w:numId w:val="1002"/>
        </w:numPr>
        <w:pStyle w:val="Compact"/>
      </w:pPr>
      <w:r>
        <w:rPr>
          <w:bCs/>
          <w:b/>
        </w:rPr>
        <w:t xml:space="preserve">Quantitative Analysis:</w:t>
      </w:r>
      <w:r>
        <w:t xml:space="preserve"> </w:t>
      </w:r>
      <w:r>
        <w:t xml:space="preserve">Survey of 150+ sitting judges across Jeddah's courts (collaborating with the Supreme Judicial Council) to measure case load, perceived obstacles, and training needs using Likert-scale questionnaires. Data will be cross-referenced with official court statistics from the Ministry of Justice.</w:t>
      </w:r>
    </w:p>
    <w:p>
      <w:pPr>
        <w:numPr>
          <w:ilvl w:val="0"/>
          <w:numId w:val="1002"/>
        </w:numPr>
        <w:pStyle w:val="Compact"/>
      </w:pPr>
      <w:r>
        <w:rPr>
          <w:bCs/>
          <w:b/>
        </w:rPr>
        <w:t xml:space="preserve">Qualitative Inquiry:</w:t>
      </w:r>
      <w:r>
        <w:t xml:space="preserve"> </w:t>
      </w:r>
      <w:r>
        <w:t xml:space="preserve">In-depth, semi-structured interviews (n=30) with a diverse sample of Jeddah judges (including female judges), legal clerks, and key stakeholders from the Ministry of Justice and King Abdullah University for Science and Technology (KAUST). Focus will be on real-world case handling, decision-making pressures, and adaptation to Vision 2030 mandates.</w:t>
      </w:r>
    </w:p>
    <w:p>
      <w:pPr>
        <w:numPr>
          <w:ilvl w:val="0"/>
          <w:numId w:val="1002"/>
        </w:numPr>
        <w:pStyle w:val="Compact"/>
      </w:pPr>
      <w:r>
        <w:rPr>
          <w:bCs/>
          <w:b/>
        </w:rPr>
        <w:t xml:space="preserve">Case Study Analysis:</w:t>
      </w:r>
      <w:r>
        <w:t xml:space="preserve"> </w:t>
      </w:r>
      <w:r>
        <w:t xml:space="preserve">Examination of 15-20 high-impact cases from Jeddah courts (e.g., complex commercial disputes involving foreign entities or Hajj-related incidents) to identify procedural strengths and weaknesses in judicial application.</w:t>
      </w:r>
    </w:p>
    <w:p>
      <w:pPr>
        <w:numPr>
          <w:ilvl w:val="0"/>
          <w:numId w:val="1002"/>
        </w:numPr>
        <w:pStyle w:val="Compact"/>
      </w:pPr>
      <w:r>
        <w:rPr>
          <w:bCs/>
          <w:b/>
        </w:rPr>
        <w:t xml:space="preserve">Ethical Compliance:</w:t>
      </w:r>
      <w:r>
        <w:t xml:space="preserve"> </w:t>
      </w:r>
      <w:r>
        <w:t xml:space="preserve">Full adherence to Saudi ethical guidelines, including approval from the National Committee for Research Ethics (NCRE) and strict confidentiality protocols for all participants. All data collection will be conducted under the auspices of a local Saudi academic institution (e.g., University of Jeddah).</w:t>
      </w:r>
    </w:p>
    <w:bookmarkEnd w:id="23"/>
    <w:bookmarkStart w:id="24" w:name="v.-significance-and-expected-outcomes"/>
    <w:p>
      <w:pPr>
        <w:pStyle w:val="Heading2"/>
      </w:pPr>
      <w:r>
        <w:t xml:space="preserve">V. Significance and Expected Outcomes</w:t>
      </w:r>
    </w:p>
    <w:p>
      <w:pPr>
        <w:pStyle w:val="FirstParagraph"/>
      </w:pPr>
      <w:r>
        <w:t xml:space="preserve">This research directly serves Saudi Arabia's strategic imperatives by providing actionable data for policy formulation. The outcomes will be highly specific to the operational environment of</w:t>
      </w:r>
      <w:r>
        <w:t xml:space="preserve"> </w:t>
      </w:r>
      <w:r>
        <w:rPr>
          <w:bCs/>
          <w:b/>
        </w:rPr>
        <w:t xml:space="preserve">Judge</w:t>
      </w:r>
      <w:r>
        <w:t xml:space="preserve">s in Jeddah, ensuring relevance beyond theoretical discussions:</w:t>
      </w:r>
    </w:p>
    <w:p>
      <w:pPr>
        <w:numPr>
          <w:ilvl w:val="0"/>
          <w:numId w:val="1003"/>
        </w:numPr>
        <w:pStyle w:val="Compact"/>
      </w:pPr>
      <w:r>
        <w:rPr>
          <w:bCs/>
          <w:b/>
        </w:rPr>
        <w:t xml:space="preserve">Policy Impact:</w:t>
      </w:r>
      <w:r>
        <w:t xml:space="preserve"> </w:t>
      </w:r>
      <w:r>
        <w:t xml:space="preserve">A tailored judicial training enhancement model addressing Jeddah's unique needs (e.g., modules on expatriate legal systems, digital evidence handling for port-related cases) will be submitted to the Supreme Judicial Council and Ministry of Justice for integration into national programs.</w:t>
      </w:r>
    </w:p>
    <w:p>
      <w:pPr>
        <w:numPr>
          <w:ilvl w:val="0"/>
          <w:numId w:val="1003"/>
        </w:numPr>
        <w:pStyle w:val="Compact"/>
      </w:pPr>
      <w:r>
        <w:rPr>
          <w:bCs/>
          <w:b/>
        </w:rPr>
        <w:t xml:space="preserve">Operational Efficiency:</w:t>
      </w:r>
      <w:r>
        <w:t xml:space="preserve"> </w:t>
      </w:r>
      <w:r>
        <w:t xml:space="preserve">The study will identify concrete procedural bottlenecks in Jeddah's courts (e.g., document processing delays, witness management), enabling targeted technological or administrative interventions to reduce backlogs.</w:t>
      </w:r>
    </w:p>
    <w:p>
      <w:pPr>
        <w:numPr>
          <w:ilvl w:val="0"/>
          <w:numId w:val="1003"/>
        </w:numPr>
        <w:pStyle w:val="Compact"/>
      </w:pPr>
      <w:r>
        <w:rPr>
          <w:bCs/>
          <w:b/>
        </w:rPr>
        <w:t xml:space="preserve">Societal Trust:</w:t>
      </w:r>
      <w:r>
        <w:t xml:space="preserve"> </w:t>
      </w:r>
      <w:r>
        <w:t xml:space="preserve">Findings on judge-public interaction dynamics will inform initiatives to improve transparency and public understanding of judicial processes in Jeddah, a cornerstone of Vision 2030's citizen-centric governance.</w:t>
      </w:r>
    </w:p>
    <w:p>
      <w:pPr>
        <w:numPr>
          <w:ilvl w:val="0"/>
          <w:numId w:val="1003"/>
        </w:numPr>
        <w:pStyle w:val="Compact"/>
      </w:pPr>
      <w:r>
        <w:rPr>
          <w:bCs/>
          <w:b/>
        </w:rPr>
        <w:t xml:space="preserve">Gender Inclusion:</w:t>
      </w:r>
      <w:r>
        <w:t xml:space="preserve"> </w:t>
      </w:r>
      <w:r>
        <w:t xml:space="preserve">Specific insights into the experiences of female judges in Jeddah will contribute to strategies promoting gender diversity within the judiciary nationwide.</w:t>
      </w:r>
    </w:p>
    <w:bookmarkEnd w:id="24"/>
    <w:bookmarkStart w:id="25" w:name="X71eb0bb7b427e6e3e7d693c13441e9b8ec39c71"/>
    <w:p>
      <w:pPr>
        <w:pStyle w:val="Heading2"/>
      </w:pPr>
      <w:r>
        <w:t xml:space="preserve">VI. Timeline and Implementation (18-Month Project)</w:t>
      </w:r>
    </w:p>
    <w:p>
      <w:pPr>
        <w:numPr>
          <w:ilvl w:val="0"/>
          <w:numId w:val="1004"/>
        </w:numPr>
        <w:pStyle w:val="Compact"/>
      </w:pPr>
      <w:r>
        <w:rPr>
          <w:bCs/>
          <w:b/>
        </w:rPr>
        <w:t xml:space="preserve">Months 1-3:</w:t>
      </w:r>
      <w:r>
        <w:t xml:space="preserve"> </w:t>
      </w:r>
      <w:r>
        <w:t xml:space="preserve">Finalize methodology, secure ethical approvals, and establish partnerships with Jeddah courts and Ministry of Justice.</w:t>
      </w:r>
    </w:p>
    <w:p>
      <w:pPr>
        <w:numPr>
          <w:ilvl w:val="0"/>
          <w:numId w:val="1004"/>
        </w:numPr>
        <w:pStyle w:val="Compact"/>
      </w:pPr>
      <w:r>
        <w:rPr>
          <w:bCs/>
          <w:b/>
        </w:rPr>
        <w:t xml:space="preserve">Months 4-9:</w:t>
      </w:r>
      <w:r>
        <w:t xml:space="preserve"> </w:t>
      </w:r>
      <w:r>
        <w:t xml:space="preserve">Data collection: Surveys distributed, interviews conducted (with Jeddah judges), case studies analyzed.</w:t>
      </w:r>
    </w:p>
    <w:p>
      <w:pPr>
        <w:numPr>
          <w:ilvl w:val="0"/>
          <w:numId w:val="1004"/>
        </w:numPr>
        <w:pStyle w:val="Compact"/>
      </w:pPr>
      <w:r>
        <w:rPr>
          <w:bCs/>
          <w:b/>
        </w:rPr>
        <w:t xml:space="preserve">Months 10-14:</w:t>
      </w:r>
      <w:r>
        <w:t xml:space="preserve"> </w:t>
      </w:r>
      <w:r>
        <w:t xml:space="preserve">Data analysis, synthesis of findings into the judicial framework proposal.</w:t>
      </w:r>
    </w:p>
    <w:p>
      <w:pPr>
        <w:numPr>
          <w:ilvl w:val="0"/>
          <w:numId w:val="1004"/>
        </w:numPr>
        <w:pStyle w:val="Compact"/>
      </w:pPr>
      <w:r>
        <w:rPr>
          <w:bCs/>
          <w:b/>
        </w:rPr>
        <w:t xml:space="preserve">Months 15-18:</w:t>
      </w:r>
      <w:r>
        <w:t xml:space="preserve"> </w:t>
      </w:r>
      <w:r>
        <w:t xml:space="preserve">Drafting final report, stakeholder workshops in Jeddah (presenting findings to judges and Ministry officials), and submission of recommendations for implementation.</w:t>
      </w:r>
    </w:p>
    <w:bookmarkEnd w:id="25"/>
    <w:bookmarkStart w:id="26" w:name="vii.-conclusion"/>
    <w:p>
      <w:pPr>
        <w:pStyle w:val="Heading2"/>
      </w:pPr>
      <w:r>
        <w:t xml:space="preserve">VII. Conclusion</w:t>
      </w:r>
    </w:p>
    <w:p>
      <w:pPr>
        <w:pStyle w:val="FirstParagraph"/>
      </w:pPr>
      <w:r>
        <w:t xml:space="preserve">The proposed research is not merely an academic exercise but a vital contribution to Saudi Arabia's judicial modernization journey, with Jeddah serving as the critical focal point. By centering the lived experience of</w:t>
      </w:r>
      <w:r>
        <w:t xml:space="preserve"> </w:t>
      </w:r>
      <w:r>
        <w:rPr>
          <w:bCs/>
          <w:b/>
        </w:rPr>
        <w:t xml:space="preserve">Judge</w:t>
      </w:r>
      <w:r>
        <w:t xml:space="preserve">s within this vibrant city, the study delivers precise insights for improving justice delivery where it matters most – in a jurisdiction pivotal to both national economy and global connectivity. This</w:t>
      </w:r>
      <w:r>
        <w:t xml:space="preserve"> </w:t>
      </w:r>
      <w:r>
        <w:rPr>
          <w:iCs/>
          <w:i/>
        </w:rPr>
        <w:t xml:space="preserve">Research Proposal</w:t>
      </w:r>
      <w:r>
        <w:t xml:space="preserve"> </w:t>
      </w:r>
      <w:r>
        <w:t xml:space="preserve">directly aligns with Vision 2030's goal of "a just society" (Al-Wazirah al-Adliah) by focusing on the human element of justice: the judges themselves. The findings will empower policymakers in Riyadh and Jeddah to design targeted, effective support systems, ultimately fostering a more efficient, equitable, and trusted judicial system across Saudi Arabia. Investing in understanding Jeddah's judiciary is investing in the Kingdom’s future stability and global reputation as a leader in modern Islamic governance.</w:t>
      </w:r>
    </w:p>
    <w:bookmarkEnd w:id="26"/>
    <w:bookmarkStart w:id="27" w:name="viii.-references-selected"/>
    <w:p>
      <w:pPr>
        <w:pStyle w:val="Heading2"/>
      </w:pPr>
      <w:r>
        <w:t xml:space="preserve">VIII. References (Selected)</w:t>
      </w:r>
    </w:p>
    <w:p>
      <w:pPr>
        <w:numPr>
          <w:ilvl w:val="0"/>
          <w:numId w:val="1005"/>
        </w:numPr>
        <w:pStyle w:val="Compact"/>
      </w:pPr>
      <w:r>
        <w:t xml:space="preserve">Kingdom of Saudi Arabia. (2019). Vision 2030: National Transformation Program.</w:t>
      </w:r>
    </w:p>
    <w:p>
      <w:pPr>
        <w:numPr>
          <w:ilvl w:val="0"/>
          <w:numId w:val="1005"/>
        </w:numPr>
        <w:pStyle w:val="Compact"/>
      </w:pPr>
      <w:r>
        <w:t xml:space="preserve">Ministry of Justice, Saudi Arabia. (2021). National Strategy for Justice 2030.</w:t>
      </w:r>
    </w:p>
    <w:p>
      <w:pPr>
        <w:numPr>
          <w:ilvl w:val="0"/>
          <w:numId w:val="1005"/>
        </w:numPr>
        <w:pStyle w:val="Compact"/>
      </w:pPr>
      <w:r>
        <w:t xml:space="preserve">Supreme Judicial Council, Kingdom of Saudi Arabia. (Annual Reports on Court Statistics).</w:t>
      </w:r>
    </w:p>
    <w:p>
      <w:pPr>
        <w:numPr>
          <w:ilvl w:val="0"/>
          <w:numId w:val="1005"/>
        </w:numPr>
        <w:pStyle w:val="Compact"/>
      </w:pPr>
      <w:r>
        <w:t xml:space="preserve">Al-Jamea, M. A., &amp; Al-Muqarram, F. S. (2023). Judicial Reforms and Gender in the Gulf: Insights from Saudi Arabia's Modernization Efforts. *Journal of Arabian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Effectiveness for Judges in Jeddah, Saudi Arabia</dc:title>
  <dc:creator/>
  <dc:language>en</dc:language>
  <cp:keywords/>
  <dcterms:created xsi:type="dcterms:W3CDTF">2026-07-21T09:51:13Z</dcterms:created>
  <dcterms:modified xsi:type="dcterms:W3CDTF">2026-07-21T09:51:13Z</dcterms:modified>
</cp:coreProperties>
</file>

<file path=docProps/custom.xml><?xml version="1.0" encoding="utf-8"?>
<Properties xmlns="http://schemas.openxmlformats.org/officeDocument/2006/custom-properties" xmlns:vt="http://schemas.openxmlformats.org/officeDocument/2006/docPropsVTypes"/>
</file>