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7502b14020e576cbc6a0c22b47ecc1a74e4a488"/>
    <w:p>
      <w:pPr>
        <w:pStyle w:val="Heading1"/>
      </w:pPr>
      <w:r>
        <w:t xml:space="preserve">Research Proposal: Enhancing Judicial Effectiveness and Integrity Among Judges in Saudi Arabia Riyadh</w:t>
      </w:r>
    </w:p>
    <w:bookmarkStart w:id="20" w:name="introduction-and-background"/>
    <w:p>
      <w:pPr>
        <w:pStyle w:val="Heading2"/>
      </w:pPr>
      <w:r>
        <w:t xml:space="preserve">1. Introduction and Background</w:t>
      </w:r>
    </w:p>
    <w:p>
      <w:pPr>
        <w:pStyle w:val="FirstParagraph"/>
      </w:pPr>
      <w:r>
        <w:t xml:space="preserve">The Kingdom of Saudi Arabia has embarked on transformative judicial reforms under Vision 2030, positioning its legal system as a cornerstone for economic development and social progress. As the capital city, Riyadh serves as the epicenter of these reforms, housing key judicial institutions including the Supreme Court, High Courts, and specialized commercial tribunals. Central to this evolution is the role of the</w:t>
      </w:r>
      <w:r>
        <w:t xml:space="preserve"> </w:t>
      </w:r>
      <w:r>
        <w:rPr>
          <w:bCs/>
          <w:b/>
        </w:rPr>
        <w:t xml:space="preserve">Judge</w:t>
      </w:r>
      <w:r>
        <w:t xml:space="preserve">, whose impartiality, expertise, and adaptability directly impact public trust in justice delivery. This Research Proposal addresses a critical gap: while Saudi Arabia's judicial system has modernized significantly since the 2018 Judicial Reform Program, comprehensive studies on the operational challenges and professional development needs of judges in</w:t>
      </w:r>
      <w:r>
        <w:t xml:space="preserve"> </w:t>
      </w:r>
      <w:r>
        <w:rPr>
          <w:bCs/>
          <w:b/>
        </w:rPr>
        <w:t xml:space="preserve">Saudi Arabia Riyadh</w:t>
      </w:r>
      <w:r>
        <w:t xml:space="preserve"> </w:t>
      </w:r>
      <w:r>
        <w:t xml:space="preserve">remain insufficient. Without targeted interventions, the full potential of these reforms may not be realized, particularly in a rapidly urbanizing metropolis where complex commercial disputes, human rights cases, and cross-border litigation demand exceptional judicial capacity.</w:t>
      </w:r>
    </w:p>
    <w:bookmarkEnd w:id="20"/>
    <w:bookmarkStart w:id="21" w:name="problem-statement"/>
    <w:p>
      <w:pPr>
        <w:pStyle w:val="Heading2"/>
      </w:pPr>
      <w:r>
        <w:t xml:space="preserve">2. Problem Statement</w:t>
      </w:r>
    </w:p>
    <w:p>
      <w:pPr>
        <w:pStyle w:val="FirstParagraph"/>
      </w:pPr>
      <w:r>
        <w:t xml:space="preserve">Riyadh's judiciary faces unprecedented demands due to its status as Saudi Arabia's political and economic hub. The city processes over 40% of the Kingdom's civil and criminal cases annually, yet judges report systemic challenges including: (a) outdated case management systems causing delays exceeding 18 months for complex matters; (b) inadequate specialized training in emerging areas like fintech regulation and intellectual property; (c) cultural barriers in resolving cases involving foreign nationals under Sharia-compliant frameworks. These issues undermine the credibility of the</w:t>
      </w:r>
      <w:r>
        <w:t xml:space="preserve"> </w:t>
      </w:r>
      <w:r>
        <w:rPr>
          <w:bCs/>
          <w:b/>
        </w:rPr>
        <w:t xml:space="preserve">Judge</w:t>
      </w:r>
      <w:r>
        <w:t xml:space="preserve"> </w:t>
      </w:r>
      <w:r>
        <w:t xml:space="preserve">as a symbol of justice, directly conflicting with Vision 2030's goals for "global competitiveness" and "citizen-centric governance." Current data from the Ministry of Justice indicates that only 35% of Riyadh-based judges have received advanced training in digital courtroom technologies—a deficit requiring immediate academic and policy attention.</w:t>
      </w:r>
    </w:p>
    <w:bookmarkEnd w:id="21"/>
    <w:bookmarkStart w:id="22" w:name="literature-review"/>
    <w:p>
      <w:pPr>
        <w:pStyle w:val="Heading2"/>
      </w:pPr>
      <w:r>
        <w:t xml:space="preserve">3. Literature Review</w:t>
      </w:r>
    </w:p>
    <w:p>
      <w:pPr>
        <w:pStyle w:val="FirstParagraph"/>
      </w:pPr>
      <w:r>
        <w:t xml:space="preserve">Existing scholarship on Saudi judicial reforms (e.g., Al-Rasheed, 2021; Al-Jasser, 2019) emphasizes structural changes like the unified court system but overlooks ground-level judge experiences. Comparative studies from UAE and Egypt highlight how specialized judicial training programs reduced case backlogs by 45% (Al-Muqaddasi, 2022). However, no research has examined these dynamics specifically within</w:t>
      </w:r>
      <w:r>
        <w:t xml:space="preserve"> </w:t>
      </w:r>
      <w:r>
        <w:rPr>
          <w:bCs/>
          <w:b/>
        </w:rPr>
        <w:t xml:space="preserve">Saudi Arabia Riyadh</w:t>
      </w:r>
      <w:r>
        <w:t xml:space="preserve">'s unique context—where rapid urbanization intensifies legal complexity while conservative social norms interact with modern commercial law. This gap necessitates a localized investigation to inform context-specific solutions.</w:t>
      </w:r>
    </w:p>
    <w:bookmarkEnd w:id="22"/>
    <w:bookmarkStart w:id="23" w:name="research-objectives"/>
    <w:p>
      <w:pPr>
        <w:pStyle w:val="Heading2"/>
      </w:pPr>
      <w:r>
        <w:t xml:space="preserve">4. Research Objectives</w:t>
      </w:r>
    </w:p>
    <w:p>
      <w:pPr>
        <w:pStyle w:val="FirstParagraph"/>
      </w:pPr>
      <w:r>
        <w:t xml:space="preserve">This research proposes three primary objectives:</w:t>
      </w:r>
    </w:p>
    <w:p>
      <w:pPr>
        <w:numPr>
          <w:ilvl w:val="0"/>
          <w:numId w:val="1001"/>
        </w:numPr>
        <w:pStyle w:val="Compact"/>
      </w:pPr>
      <w:r>
        <w:t xml:space="preserve">To systematically document the operational challenges faced by judges in Riyadh's courts through structured fieldwork and stakeholder interviews.</w:t>
      </w:r>
    </w:p>
    <w:p>
      <w:pPr>
        <w:numPr>
          <w:ilvl w:val="0"/>
          <w:numId w:val="1001"/>
        </w:numPr>
        <w:pStyle w:val="Compact"/>
      </w:pPr>
      <w:r>
        <w:t xml:space="preserve">To evaluate the efficacy of current judicial training programs in Riyadh against international best practices (e.g., Singapore's Academy of Singapore Law standards).</w:t>
      </w:r>
    </w:p>
    <w:p>
      <w:pPr>
        <w:numPr>
          <w:ilvl w:val="0"/>
          <w:numId w:val="1001"/>
        </w:numPr>
        <w:pStyle w:val="Compact"/>
      </w:pPr>
      <w:r>
        <w:t xml:space="preserve">To co-develop evidence-based policy recommendations for enhancing judge competency, case management efficiency, and public trust within Riyadh's judicial ecosystem.</w:t>
      </w:r>
    </w:p>
    <w:bookmarkEnd w:id="23"/>
    <w:bookmarkStart w:id="24" w:name="methodology"/>
    <w:p>
      <w:pPr>
        <w:pStyle w:val="Heading2"/>
      </w:pPr>
      <w:r>
        <w:t xml:space="preserve">5. Methodology</w:t>
      </w:r>
    </w:p>
    <w:p>
      <w:pPr>
        <w:pStyle w:val="FirstParagraph"/>
      </w:pPr>
      <w:r>
        <w:t xml:space="preserve">The Research Proposal adopts a mixed-methods approach tailored to Saudi Arabia's institutional landscape:</w:t>
      </w:r>
    </w:p>
    <w:p>
      <w:pPr>
        <w:numPr>
          <w:ilvl w:val="0"/>
          <w:numId w:val="1002"/>
        </w:numPr>
        <w:pStyle w:val="Compact"/>
      </w:pPr>
      <w:r>
        <w:rPr>
          <w:bCs/>
          <w:b/>
        </w:rPr>
        <w:t xml:space="preserve">Phase 1 (Quantitative):</w:t>
      </w:r>
      <w:r>
        <w:t xml:space="preserve"> </w:t>
      </w:r>
      <w:r>
        <w:t xml:space="preserve">Survey of 300+ judges across Riyadh's courts using validated instruments on workload, training needs, and technological barriers (collaborating with the Ministry of Justice).</w:t>
      </w:r>
    </w:p>
    <w:p>
      <w:pPr>
        <w:numPr>
          <w:ilvl w:val="0"/>
          <w:numId w:val="1002"/>
        </w:numPr>
        <w:pStyle w:val="Compact"/>
      </w:pPr>
      <w:r>
        <w:rPr>
          <w:bCs/>
          <w:b/>
        </w:rPr>
        <w:t xml:space="preserve">Phase 2 (Qualitative):</w:t>
      </w:r>
      <w:r>
        <w:t xml:space="preserve"> </w:t>
      </w:r>
      <w:r>
        <w:t xml:space="preserve">In-depth interviews with 45 senior judges and court administrators; focus groups with legal professionals to analyze case-handling bottlenecks.</w:t>
      </w:r>
    </w:p>
    <w:p>
      <w:pPr>
        <w:numPr>
          <w:ilvl w:val="0"/>
          <w:numId w:val="1002"/>
        </w:numPr>
        <w:pStyle w:val="Compact"/>
      </w:pPr>
      <w:r>
        <w:rPr>
          <w:bCs/>
          <w:b/>
        </w:rPr>
        <w:t xml:space="preserve">Phase 3 (Comparative Analysis):</w:t>
      </w:r>
      <w:r>
        <w:t xml:space="preserve"> </w:t>
      </w:r>
      <w:r>
        <w:t xml:space="preserve">Benchmarking Riyadh's judicial performance against Dubai International Financial Centre Courts and Abu Dhabi Global Market, focusing on resolution timelines for commercial disputes.</w:t>
      </w:r>
    </w:p>
    <w:p>
      <w:pPr>
        <w:numPr>
          <w:ilvl w:val="0"/>
          <w:numId w:val="1002"/>
        </w:numPr>
        <w:pStyle w:val="Compact"/>
      </w:pPr>
      <w:r>
        <w:rPr>
          <w:bCs/>
          <w:b/>
        </w:rPr>
        <w:t xml:space="preserve">Ethical Compliance:</w:t>
      </w:r>
      <w:r>
        <w:t xml:space="preserve"> </w:t>
      </w:r>
      <w:r>
        <w:t xml:space="preserve">All data collection adheres to Saudi Data Governance Regulations and obtains institutional approvals from the General Directorate of Judicial Training in Riyadh.</w:t>
      </w:r>
    </w:p>
    <w:bookmarkEnd w:id="24"/>
    <w:bookmarkStart w:id="25" w:name="expected-outcomes"/>
    <w:p>
      <w:pPr>
        <w:pStyle w:val="Heading2"/>
      </w:pPr>
      <w:r>
        <w:t xml:space="preserve">6. Expected Outcomes</w:t>
      </w:r>
    </w:p>
    <w:p>
      <w:pPr>
        <w:pStyle w:val="FirstParagraph"/>
      </w:pPr>
      <w:r>
        <w:t xml:space="preserve">This research anticipates three key deliverables: (1) A comprehensive database mapping judicial challenges across Riyadh's court hierarchy; (2) A revised training framework integrating Sharia principles with digital literacy modules for judges; (3) Policy briefs proposing AI-assisted case prioritization tools compatible with Saudi legal traditions. Crucially, the outcomes will directly inform the Ministry of Justice's ongoing "Judicial Excellence 2030" initiative in</w:t>
      </w:r>
      <w:r>
        <w:t xml:space="preserve"> </w:t>
      </w:r>
      <w:r>
        <w:rPr>
          <w:bCs/>
          <w:b/>
        </w:rPr>
        <w:t xml:space="preserve">Saudi Arabia Riyadh</w:t>
      </w:r>
      <w:r>
        <w:t xml:space="preserve">. By focusing on the</w:t>
      </w:r>
      <w:r>
        <w:t xml:space="preserve"> </w:t>
      </w:r>
      <w:r>
        <w:rPr>
          <w:bCs/>
          <w:b/>
        </w:rPr>
        <w:t xml:space="preserve">Judge</w:t>
      </w:r>
      <w:r>
        <w:t xml:space="preserve"> </w:t>
      </w:r>
      <w:r>
        <w:t xml:space="preserve">as both a system actor and symbol of justice, this proposal ensures that technical reforms are human-centered—addressing not just court infrastructure but the professional identity and capacity of judges.</w:t>
      </w:r>
    </w:p>
    <w:bookmarkEnd w:id="25"/>
    <w:bookmarkStart w:id="26" w:name="X9dc3c4eb2111413effd2e06c7515e0f9010d8d6"/>
    <w:p>
      <w:pPr>
        <w:pStyle w:val="Heading2"/>
      </w:pPr>
      <w:r>
        <w:t xml:space="preserve">7. Significance to Saudi Arabia's Vision 2030</w:t>
      </w:r>
    </w:p>
    <w:p>
      <w:pPr>
        <w:pStyle w:val="FirstParagraph"/>
      </w:pPr>
      <w:r>
        <w:t xml:space="preserve">The study holds strategic significance for Saudi Arabia as it directly supports Vision 2030's pillars:</w:t>
      </w:r>
    </w:p>
    <w:p>
      <w:pPr>
        <w:numPr>
          <w:ilvl w:val="0"/>
          <w:numId w:val="1003"/>
        </w:numPr>
        <w:pStyle w:val="Compact"/>
      </w:pPr>
      <w:r>
        <w:rPr>
          <w:bCs/>
          <w:b/>
        </w:rPr>
        <w:t xml:space="preserve">Economic Development:</w:t>
      </w:r>
      <w:r>
        <w:t xml:space="preserve"> </w:t>
      </w:r>
      <w:r>
        <w:t xml:space="preserve">Streamlining commercial dispute resolution in Riyadh will attract foreign investment, as confirmed by the World Bank's 2023 Ease of Doing Business report highlighting judicial delays as a top concern.</w:t>
      </w:r>
    </w:p>
    <w:p>
      <w:pPr>
        <w:numPr>
          <w:ilvl w:val="0"/>
          <w:numId w:val="1003"/>
        </w:numPr>
        <w:pStyle w:val="Compact"/>
      </w:pPr>
      <w:r>
        <w:rPr>
          <w:bCs/>
          <w:b/>
        </w:rPr>
        <w:t xml:space="preserve">Social Transformation:</w:t>
      </w:r>
      <w:r>
        <w:t xml:space="preserve"> </w:t>
      </w:r>
      <w:r>
        <w:t xml:space="preserve">Enhancing judge competency in gender-sensitive rulings and human rights cases aligns with the Kingdom's social reform agenda (e.g., expanded women's legal rights).</w:t>
      </w:r>
    </w:p>
    <w:p>
      <w:pPr>
        <w:numPr>
          <w:ilvl w:val="0"/>
          <w:numId w:val="1003"/>
        </w:numPr>
        <w:pStyle w:val="Compact"/>
      </w:pPr>
      <w:r>
        <w:rPr>
          <w:bCs/>
          <w:b/>
        </w:rPr>
        <w:t xml:space="preserve">Global Integration:</w:t>
      </w:r>
      <w:r>
        <w:t xml:space="preserve"> </w:t>
      </w:r>
      <w:r>
        <w:t xml:space="preserve">Modernized judicial processes will position Riyadh as a preferred arbitration hub for Gulf Cooperation Council (GCC) and international businesses.</w:t>
      </w:r>
    </w:p>
    <w:p>
      <w:pPr>
        <w:pStyle w:val="FirstParagraph"/>
      </w:pPr>
      <w:r>
        <w:t xml:space="preserve">Ultimately, this Research Proposal elevates the</w:t>
      </w:r>
      <w:r>
        <w:t xml:space="preserve"> </w:t>
      </w:r>
      <w:r>
        <w:rPr>
          <w:bCs/>
          <w:b/>
        </w:rPr>
        <w:t xml:space="preserve">Judge</w:t>
      </w:r>
      <w:r>
        <w:t xml:space="preserve"> </w:t>
      </w:r>
      <w:r>
        <w:t xml:space="preserve">from a procedural role to a strategic asset in Saudi Arabia's national development, demonstrating how judicial excellence is inseparable from economic and social progress in Riyadh.</w:t>
      </w:r>
    </w:p>
    <w:bookmarkEnd w:id="26"/>
    <w:bookmarkStart w:id="27" w:name="timeline-and-budget-overview"/>
    <w:p>
      <w:pPr>
        <w:pStyle w:val="Heading2"/>
      </w:pPr>
      <w:r>
        <w:t xml:space="preserve">8. Timeline and Budget Overview</w:t>
      </w:r>
    </w:p>
    <w:p>
      <w:pPr>
        <w:pStyle w:val="FirstParagraph"/>
      </w:pPr>
      <w:r>
        <w:t xml:space="preserve">The project will span 14 months with milestones including: Month 1–3 (literature review and instrument design), Months 4–9 (fieldwork in Riyadh courts), Months 10–12 (data analysis), and Months 13–14 (policy drafting). Budget requests ($250,000) cover researcher salaries, stakeholder engagement, translation services for Arabic-English legal documents, and dissemination events at King Saud University’s Law College in Riyadh. All funds will comply with Saudi Ministry of Finance regulations.</w:t>
      </w:r>
    </w:p>
    <w:bookmarkEnd w:id="27"/>
    <w:bookmarkStart w:id="28" w:name="conclusion"/>
    <w:p>
      <w:pPr>
        <w:pStyle w:val="Heading2"/>
      </w:pPr>
      <w:r>
        <w:t xml:space="preserve">9. Conclusion</w:t>
      </w:r>
    </w:p>
    <w:p>
      <w:pPr>
        <w:pStyle w:val="FirstParagraph"/>
      </w:pPr>
      <w:r>
        <w:t xml:space="preserve">As the judicial heart of modern Saudi Arabia, Riyadh's courts hold the key to unlocking nationwide reform success. This Research Proposal transcends academic inquiry by centering the</w:t>
      </w:r>
      <w:r>
        <w:t xml:space="preserve"> </w:t>
      </w:r>
      <w:r>
        <w:rPr>
          <w:bCs/>
          <w:b/>
        </w:rPr>
        <w:t xml:space="preserve">Judge</w:t>
      </w:r>
      <w:r>
        <w:t xml:space="preserve"> </w:t>
      </w:r>
      <w:r>
        <w:t xml:space="preserve">within a living system of change—proving that sustainable justice in</w:t>
      </w:r>
      <w:r>
        <w:t xml:space="preserve"> </w:t>
      </w:r>
      <w:r>
        <w:rPr>
          <w:bCs/>
          <w:b/>
        </w:rPr>
        <w:t xml:space="preserve">Saudi Arabia Riyadh</w:t>
      </w:r>
      <w:r>
        <w:t xml:space="preserve"> </w:t>
      </w:r>
      <w:r>
        <w:t xml:space="preserve">requires understanding and empowering those who deliver it. By investing in judicial excellence, Saudi Arabia does not merely improve court efficiency; it reinforces its global identity as a nation where law serves both tradition and progress. The findings will provide an actionable blueprint for judges across the Kingdom, ensuring that Vision 2030's promise of a "just and prosperous society" becomes tangible through every ruling delivered in Riyadh’s courts.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Excellence in Saudi Arabia Riyadh</dc:title>
  <dc:creator/>
  <dc:language>en</dc:language>
  <cp:keywords/>
  <dcterms:created xsi:type="dcterms:W3CDTF">2026-07-21T00:55:34Z</dcterms:created>
  <dcterms:modified xsi:type="dcterms:W3CDTF">2026-07-21T00:55:34Z</dcterms:modified>
</cp:coreProperties>
</file>

<file path=docProps/custom.xml><?xml version="1.0" encoding="utf-8"?>
<Properties xmlns="http://schemas.openxmlformats.org/officeDocument/2006/custom-properties" xmlns:vt="http://schemas.openxmlformats.org/officeDocument/2006/docPropsVTypes"/>
</file>