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Spain</w:t>
      </w:r>
      <w:r>
        <w:t xml:space="preserve"> </w:t>
      </w:r>
      <w:r>
        <w:t xml:space="preserve">Madrid</w:t>
      </w:r>
    </w:p>
    <w:bookmarkStart w:id="27" w:name="X33c399352c76f1e0e673eb1937182507771041e"/>
    <w:p>
      <w:pPr>
        <w:pStyle w:val="Heading1"/>
      </w:pPr>
      <w:r>
        <w:t xml:space="preserve">Research Proposal: The Evolving Role, Judicial Independence, and Societal Impact of Judges within the Spanish Legal Framework in Madrid</w:t>
      </w:r>
    </w:p>
    <w:bookmarkStart w:id="20" w:name="i.-introduction"/>
    <w:p>
      <w:pPr>
        <w:pStyle w:val="Heading2"/>
      </w:pPr>
      <w:r>
        <w:t xml:space="preserve">I. Introduction</w:t>
      </w:r>
    </w:p>
    <w:p>
      <w:pPr>
        <w:pStyle w:val="FirstParagraph"/>
      </w:pPr>
      <w:r>
        <w:t xml:space="preserve">This Research Proposal examines the critical function of the Judge within Spain's judicial system, with a specific focus on Madrid as the nation's administrative and legal epicenter. As Spain Madrid houses the Supreme Court, Constitutional Court, and numerous high courts of appeal, it serves as the pivotal hub for judicial decision-making across Iberia. The role of the Judge in Spain Madrid transcends mere adjudication; it embodies constitutional principles of justice, state sovereignty, and social cohesion within one of Europe's most dynamic legal landscapes. This research addresses an urgent need to analyze contemporary challenges facing Judges operating in Madrid—ranging from judicial independence pressures to evolving societal expectations—amidst Spain's complex political transitions and socioeconomic transformations. With Madrid representing 20% of Spain's population and hosting over 50% of the nation's high-value legal cases, understanding the Judge's operational context here is paramount for systemic reform.</w:t>
      </w:r>
    </w:p>
    <w:bookmarkEnd w:id="20"/>
    <w:bookmarkStart w:id="21" w:name="ii.-literature-review"/>
    <w:p>
      <w:pPr>
        <w:pStyle w:val="Heading2"/>
      </w:pPr>
      <w:r>
        <w:t xml:space="preserve">II. Literature Review</w:t>
      </w:r>
    </w:p>
    <w:p>
      <w:pPr>
        <w:pStyle w:val="FirstParagraph"/>
      </w:pPr>
      <w:r>
        <w:t xml:space="preserve">Existing scholarship on Spanish judiciary (e.g., Pérez-López, 2019; García-Gómez, 2021) emphasizes Madrid's centrality but often overlooks granular operational challenges faced by Judges daily. While foundational texts like García-Castro (2018) detail Spain's judicial architecture, recent studies (e.g., Fernández-Rodríguez, 2023) note increasing caseloads and politicization risks in Madrid courts. Crucially, no comprehensive analysis bridges historical judicial evolution with present-day realities in Madrid—a gap this research fills. The European Network of Councils for the Judiciary (ENCF) report (2022) highlights Spain's "moderate" judicial independence score, yet Madrid-specific data remains fragmented. This proposal synthesizes constitutional law, empirical courtroom studies, and comparative European jurisprudence to contextualize the Judge within Spain Madrid’s unique ecosystem.</w:t>
      </w:r>
    </w:p>
    <w:bookmarkEnd w:id="21"/>
    <w:bookmarkStart w:id="22" w:name="iii.-research-questions-and-objectives"/>
    <w:p>
      <w:pPr>
        <w:pStyle w:val="Heading2"/>
      </w:pPr>
      <w:r>
        <w:t xml:space="preserve">III. Research Questions and Objectives</w:t>
      </w:r>
    </w:p>
    <w:p>
      <w:pPr>
        <w:numPr>
          <w:ilvl w:val="0"/>
          <w:numId w:val="1001"/>
        </w:numPr>
        <w:pStyle w:val="Compact"/>
      </w:pPr>
      <w:r>
        <w:rPr>
          <w:bCs/>
          <w:b/>
        </w:rPr>
        <w:t xml:space="preserve">RQ1:</w:t>
      </w:r>
      <w:r>
        <w:t xml:space="preserve"> </w:t>
      </w:r>
      <w:r>
        <w:t xml:space="preserve">How do Judges in Madrid courts navigate tensions between legal precedent, political context, and public expectations amid Spain's evolving constitutional democracy?</w:t>
      </w:r>
    </w:p>
    <w:p>
      <w:pPr>
        <w:numPr>
          <w:ilvl w:val="0"/>
          <w:numId w:val="1001"/>
        </w:numPr>
        <w:pStyle w:val="Compact"/>
      </w:pPr>
      <w:r>
        <w:rPr>
          <w:bCs/>
          <w:b/>
        </w:rPr>
        <w:t xml:space="preserve">RQ2:</w:t>
      </w:r>
      <w:r>
        <w:t xml:space="preserve"> </w:t>
      </w:r>
      <w:r>
        <w:t xml:space="preserve">To what extent does judicial workload and resource allocation in Madrid impact the quality of rulings across civil, criminal, and administrative cases?</w:t>
      </w:r>
    </w:p>
    <w:p>
      <w:pPr>
        <w:numPr>
          <w:ilvl w:val="0"/>
          <w:numId w:val="1001"/>
        </w:numPr>
        <w:pStyle w:val="Compact"/>
      </w:pPr>
      <w:r>
        <w:rPr>
          <w:bCs/>
          <w:b/>
        </w:rPr>
        <w:t xml:space="preserve">RQ3:</w:t>
      </w:r>
      <w:r>
        <w:t xml:space="preserve"> </w:t>
      </w:r>
      <w:r>
        <w:t xml:space="preserve">How do Judges in Spain Madrid perceive institutional support systems (e.g., the General Council of the Judiciary) versus external pressures from media or political actors?</w:t>
      </w:r>
    </w:p>
    <w:p>
      <w:pPr>
        <w:pStyle w:val="FirstParagraph"/>
      </w:pPr>
      <w:r>
        <w:rPr>
          <w:bCs/>
          <w:b/>
        </w:rPr>
        <w:t xml:space="preserve">Objectives:</w:t>
      </w:r>
    </w:p>
    <w:p>
      <w:pPr>
        <w:numPr>
          <w:ilvl w:val="0"/>
          <w:numId w:val="1002"/>
        </w:numPr>
        <w:pStyle w:val="Compact"/>
      </w:pPr>
      <w:r>
        <w:t xml:space="preserve">Map judicial decision patterns across Madrid’s 12 provincial courts using anonymized case datasets (2020–2023).</w:t>
      </w:r>
    </w:p>
    <w:p>
      <w:pPr>
        <w:numPr>
          <w:ilvl w:val="0"/>
          <w:numId w:val="1002"/>
        </w:numPr>
        <w:pStyle w:val="Compact"/>
      </w:pPr>
      <w:r>
        <w:t xml:space="preserve">Conduct 45 in-depth interviews with Judges serving in Madrid, including Supreme Court and lower courts.</w:t>
      </w:r>
    </w:p>
    <w:p>
      <w:pPr>
        <w:numPr>
          <w:ilvl w:val="0"/>
          <w:numId w:val="1002"/>
        </w:numPr>
        <w:pStyle w:val="Compact"/>
      </w:pPr>
      <w:r>
        <w:t xml:space="preserve">Evaluate institutional mechanisms for judicial independence through the lens of Madrid-based practitioners.</w:t>
      </w:r>
    </w:p>
    <w:bookmarkEnd w:id="22"/>
    <w:bookmarkStart w:id="23" w:name="iv.-methodology"/>
    <w:p>
      <w:pPr>
        <w:pStyle w:val="Heading2"/>
      </w:pPr>
      <w:r>
        <w:t xml:space="preserve">IV. Methodology</w:t>
      </w:r>
    </w:p>
    <w:p>
      <w:pPr>
        <w:pStyle w:val="FirstParagraph"/>
      </w:pPr>
      <w:r>
        <w:t xml:space="preserve">This mixed-methods study employs a sequential design. Phase 1 (quantitative) analyzes 10,000 anonymized cases from Madrid’s regional courts via the National Judicial Data System (SINJ), measuring variables like case duration, appeal rates, and ruling consistency. Phase 2 (qualitative) uses purposive sampling to interview Judges across Madrid’s judicial circuit—ensuring representation by court level (Supreme Court, High Court of Justice of Madrid, lower courts) and specialization areas. Interviews will follow a semi-structured guide addressing RQ1–RQ3, with thematic analysis using NVivo software. Rigor is ensured through triangulation: comparing court data with interview insights and cross-referencing with media coverage (e.g., El País judicial reports). Ethical approval will be sought from Madrid’s Autonomous University Research Ethics Board, prioritizing Judge anonymity per Spanish Law 15/1999 on Data Protection.</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insights for Spain Madrid’s judicial landscape. We anticipate identifying systemic bottlenecks in Madrid’s court infrastructure—such as case backlog correlations with socioeconomic factors in districts like Chamberí or Salamanca—and quantifying how political rhetoric affects Judge decision-making (e.g., gender-based violence cases). A key expected outcome is a framework for "Judicial Resilience Metrics" tailored to Spain Madrid, proposing concrete interventions: streamlined digital case management, specialized judicial training on societal context awareness, and enhanced communication protocols with public institutions. For policy-makers at the Spanish Ministry of Justice (headquartered in Madrid), this research directly informs the 2024 Judicial Reform Plan. Academically, it bridges gaps between comparative law (e.g., Spain vs. Germany’s judicial systems) and localized empirical analysis—addressing a critical void in Ibero-American legal scholarship. Crucially, findings will empower Judges in Spain Madrid to advocate for structural support through the General Council of the Judiciary.</w:t>
      </w:r>
    </w:p>
    <w:bookmarkEnd w:id="24"/>
    <w:bookmarkStart w:id="25" w:name="vi.-timeline-and-budget"/>
    <w:p>
      <w:pPr>
        <w:pStyle w:val="Heading2"/>
      </w:pPr>
      <w:r>
        <w:t xml:space="preserve">VI.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w:t>
            </w:r>
          </w:p>
        </w:tc>
      </w:tr>
      <w:tr>
        <w:tc>
          <w:tcPr/>
          <w:p>
            <w:pPr>
              <w:pStyle w:val="Compact"/>
              <w:jc w:val="left"/>
            </w:pPr>
            <w:r>
              <w:t xml:space="preserve">Data Acquisition &amp; Quantitative Analysis</w:t>
            </w:r>
          </w:p>
        </w:tc>
        <w:tc>
          <w:tcPr/>
          <w:p>
            <w:pPr>
              <w:pStyle w:val="Compact"/>
              <w:jc w:val="left"/>
            </w:pPr>
            <w:r>
              <w:t xml:space="preserve">Months 1–4</w:t>
            </w:r>
          </w:p>
        </w:tc>
        <w:tc>
          <w:tcPr/>
          <w:p>
            <w:pPr>
              <w:pStyle w:val="Compact"/>
              <w:jc w:val="left"/>
            </w:pPr>
            <w:r>
              <w:t xml:space="preserve">12,000</w:t>
            </w:r>
          </w:p>
        </w:tc>
      </w:tr>
      <w:tr>
        <w:tc>
          <w:tcPr/>
          <w:p>
            <w:pPr>
              <w:pStyle w:val="Compact"/>
              <w:jc w:val="left"/>
            </w:pPr>
            <w:r>
              <w:t xml:space="preserve">Fieldwork: Interview Recruitment &amp; Conduct</w:t>
            </w:r>
          </w:p>
        </w:tc>
        <w:tc>
          <w:tcPr/>
          <w:p>
            <w:pPr>
              <w:pStyle w:val="Compact"/>
              <w:jc w:val="left"/>
            </w:pPr>
            <w:r>
              <w:t xml:space="preserve">Months 3–6</w:t>
            </w:r>
          </w:p>
        </w:tc>
        <w:tc>
          <w:tcPr/>
          <w:p>
            <w:pPr>
              <w:pStyle w:val="Compact"/>
              <w:jc w:val="left"/>
            </w:pPr>
            <w:r>
              <w:t xml:space="preserve">8,500</w:t>
            </w:r>
          </w:p>
        </w:tc>
      </w:tr>
      <w:tr>
        <w:tc>
          <w:tcPr/>
          <w:p>
            <w:pPr>
              <w:pStyle w:val="Compact"/>
              <w:jc w:val="left"/>
            </w:pPr>
            <w:r>
              <w:t xml:space="preserve">Data Synthesis &amp; Drafting Report</w:t>
            </w:r>
          </w:p>
        </w:tc>
        <w:tc>
          <w:tcPr/>
          <w:p>
            <w:pPr>
              <w:pStyle w:val="Compact"/>
              <w:jc w:val="left"/>
            </w:pPr>
            <w:r>
              <w:t xml:space="preserve">Months 7–9</w:t>
            </w:r>
          </w:p>
        </w:tc>
        <w:tc>
          <w:tcPr/>
          <w:p>
            <w:pPr>
              <w:pStyle w:val="Compact"/>
              <w:jc w:val="left"/>
            </w:pPr>
            <w:r>
              <w:t xml:space="preserve">9,200</w:t>
            </w:r>
          </w:p>
        </w:tc>
      </w:tr>
      <w:tr>
        <w:tc>
          <w:tcPr/>
          <w:p>
            <w:pPr>
              <w:pStyle w:val="Compact"/>
              <w:jc w:val="left"/>
            </w:pPr>
            <w:r>
              <w:rPr>
                <w:iCs/>
                <w:i/>
              </w:rPr>
              <w:t xml:space="preserve">Total</w:t>
            </w:r>
          </w:p>
        </w:tc>
        <w:tc>
          <w:tcPr/>
          <w:p>
            <w:pPr>
              <w:pStyle w:val="Compact"/>
              <w:jc w:val="left"/>
            </w:pPr>
            <w:r>
              <w:rPr>
                <w:iCs/>
                <w:i/>
              </w:rPr>
              <w:t xml:space="preserve">9 months</w:t>
            </w:r>
          </w:p>
        </w:tc>
        <w:tc>
          <w:tcPr/>
          <w:p>
            <w:pPr>
              <w:pStyle w:val="Compact"/>
              <w:jc w:val="left"/>
            </w:pPr>
            <w:r>
              <w:rPr>
                <w:iCs/>
                <w:i/>
              </w:rPr>
              <w:t xml:space="preserve">29,700</w:t>
            </w:r>
          </w:p>
        </w:tc>
      </w:tr>
    </w:tbl>
    <w:bookmarkEnd w:id="25"/>
    <w:bookmarkStart w:id="26" w:name="vii.-conclusion"/>
    <w:p>
      <w:pPr>
        <w:pStyle w:val="Heading2"/>
      </w:pPr>
      <w:r>
        <w:t xml:space="preserve">VII. Conclusion</w:t>
      </w:r>
    </w:p>
    <w:p>
      <w:pPr>
        <w:pStyle w:val="FirstParagraph"/>
      </w:pPr>
      <w:r>
        <w:t xml:space="preserve">The Judge in Spain Madrid operates at the confluence of constitutional duty, societal demands, and institutional constraints—a nexus demanding rigorous examination. This Research Proposal outlines a methodologically robust investigation into how Judges navigate these complexities within Spain's most influential legal environment. By centering Madrid as the analytical core, we move beyond theoretical discourse to produce actionable evidence for judicial efficacy and integrity. The implications extend beyond Spain: Madrid’s challenges mirror those of major European capitals grappling with judicial independence in polarized democracies. Ultimately, this research seeks to affirm that the Judge—within Spain Madrid's heartland—is not merely a legal functionary but the guardian of democratic legitimacy itself. We submit this proposal to advance scholarly understanding and catalyze reforms ensuring Spain Madrid’s Judiciary remains a beacon of impartial justice for 20 million residents and an exemplar for global judicial systems.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Judges in Spain Madrid</dc:title>
  <dc:creator/>
  <cp:keywords/>
  <dcterms:created xsi:type="dcterms:W3CDTF">2025-12-12T02:09:11Z</dcterms:created>
  <dcterms:modified xsi:type="dcterms:W3CDTF">2025-12-12T02:09:11Z</dcterms:modified>
</cp:coreProperties>
</file>

<file path=docProps/custom.xml><?xml version="1.0" encoding="utf-8"?>
<Properties xmlns="http://schemas.openxmlformats.org/officeDocument/2006/custom-properties" xmlns:vt="http://schemas.openxmlformats.org/officeDocument/2006/docPropsVTypes"/>
</file>