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Turkey</w:t>
      </w:r>
      <w:r>
        <w:t xml:space="preserve"> </w:t>
      </w:r>
      <w:r>
        <w:t xml:space="preserve">Ankara</w:t>
      </w:r>
    </w:p>
    <w:bookmarkStart w:id="29" w:name="X4e7278584307f1332b26798c79251d183fbb6eb"/>
    <w:p>
      <w:pPr>
        <w:pStyle w:val="Heading1"/>
      </w:pPr>
      <w:r>
        <w:t xml:space="preserve">Research Proposal: Evaluating Judicial Independence and Professional Development Frameworks for Judges in Ankara, Turkey</w:t>
      </w:r>
    </w:p>
    <w:p>
      <w:pPr>
        <w:pStyle w:val="FirstParagraph"/>
      </w:pPr>
      <w:r>
        <w:rPr>
          <w:bCs/>
          <w:b/>
        </w:rPr>
        <w:t xml:space="preserve">Submitted to:</w:t>
      </w:r>
      <w:r>
        <w:t xml:space="preserve"> </w:t>
      </w:r>
      <w:r>
        <w:t xml:space="preserve">Department of Law &amp; Legal Studies, Middle East Technical University (METU), Ankara</w:t>
      </w:r>
      <w:r>
        <w:br/>
      </w:r>
      <w:r>
        <w:rPr>
          <w:bCs/>
          <w:b/>
        </w:rPr>
        <w:t xml:space="preserve">Date:</w:t>
      </w:r>
      <w:r>
        <w:t xml:space="preserve"> </w:t>
      </w:r>
      <w:r>
        <w:t xml:space="preserve">October 26, 2023</w:t>
      </w:r>
      <w:r>
        <w:br/>
      </w:r>
      <w:r>
        <w:rPr>
          <w:bCs/>
          <w:b/>
        </w:rPr>
        <w:t xml:space="preserve">Principal Investigator:</w:t>
      </w:r>
      <w:r>
        <w:t xml:space="preserve"> </w:t>
      </w:r>
      <w:r>
        <w:t xml:space="preserve">Dr. Ayşe Kaya</w:t>
      </w:r>
    </w:p>
    <w:bookmarkStart w:id="20" w:name="i.-introduction"/>
    <w:p>
      <w:pPr>
        <w:pStyle w:val="Heading2"/>
      </w:pPr>
      <w:r>
        <w:t xml:space="preserve">I. Introduction</w:t>
      </w:r>
    </w:p>
    <w:p>
      <w:pPr>
        <w:pStyle w:val="FirstParagraph"/>
      </w:pPr>
      <w:r>
        <w:t xml:space="preserve">The Turkish judiciary has undergone significant transformation since the constitutional amendments of 2017, with Ankara serving as the epicenter of judicial administration. As the capital city housing the Court of Cassation, Council of State, and Supreme Board of Judges and Prosecutors (HSYK), Ankara represents a critical locus for understanding contemporary judicial dynamics in Turkey. This</w:t>
      </w:r>
      <w:r>
        <w:t xml:space="preserve"> </w:t>
      </w:r>
      <w:r>
        <w:rPr>
          <w:iCs/>
          <w:i/>
        </w:rPr>
        <w:t xml:space="preserve">Research Proposal</w:t>
      </w:r>
      <w:r>
        <w:t xml:space="preserve"> </w:t>
      </w:r>
      <w:r>
        <w:t xml:space="preserve">addresses an urgent gap in academic scholarship concerning</w:t>
      </w:r>
      <w:r>
        <w:t xml:space="preserve"> </w:t>
      </w:r>
      <w:r>
        <w:rPr>
          <w:iCs/>
          <w:i/>
        </w:rPr>
        <w:t xml:space="preserve">Judge</w:t>
      </w:r>
      <w:r>
        <w:t xml:space="preserve"> </w:t>
      </w:r>
      <w:r>
        <w:t xml:space="preserve">professionalism, judicial independence, and institutional capacity within Ankara's judiciary—a sector pivotal to Turkey's democratic consolidation and rule of law. With the Turkish legal system navigating complex reforms since 2016, this study will analyze how local judicial practices align with constitutional principles in Ankara's courts.</w:t>
      </w:r>
    </w:p>
    <w:bookmarkEnd w:id="20"/>
    <w:bookmarkStart w:id="21" w:name="ii.-problem-statement"/>
    <w:p>
      <w:pPr>
        <w:pStyle w:val="Heading2"/>
      </w:pPr>
      <w:r>
        <w:t xml:space="preserve">II. Problem Statement</w:t>
      </w:r>
    </w:p>
    <w:p>
      <w:pPr>
        <w:pStyle w:val="FirstParagraph"/>
      </w:pPr>
      <w:r>
        <w:t xml:space="preserve">Despite Turkey's constitutional commitment to an independent judiciary (Article 145), empirical evidence suggests persistent challenges in judicial autonomy within Ankara’s court system. Recent reports by international bodies (including the Venice Commission and Council of Europe) note concerning trends: politicization of appointments, resource constraints in provincial courts, and inadequate professional development programs for judges. Crucially, Ankara—where over 70% of Turkey's highest judicial decisions originate—lacks comprehensive studies examining how these factors impact daily judicial practice. This</w:t>
      </w:r>
      <w:r>
        <w:t xml:space="preserve"> </w:t>
      </w:r>
      <w:r>
        <w:rPr>
          <w:iCs/>
          <w:i/>
        </w:rPr>
        <w:t xml:space="preserve">Research Proposal</w:t>
      </w:r>
      <w:r>
        <w:t xml:space="preserve"> </w:t>
      </w:r>
      <w:r>
        <w:t xml:space="preserve">directly confronts this void by focusing on Ankara as the operational nerve center of Turkey's judiciary.</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state of judicial independence among judges in Ankara's district courts, criminal chambers, and administrative courts.</w:t>
      </w:r>
    </w:p>
    <w:p>
      <w:pPr>
        <w:numPr>
          <w:ilvl w:val="0"/>
          <w:numId w:val="1001"/>
        </w:numPr>
        <w:pStyle w:val="Compact"/>
      </w:pPr>
      <w:r>
        <w:t xml:space="preserve">To evaluate the effectiveness of existing professional development programs for judges operating within Ankara's judicial framework.</w:t>
      </w:r>
    </w:p>
    <w:p>
      <w:pPr>
        <w:numPr>
          <w:ilvl w:val="0"/>
          <w:numId w:val="1001"/>
        </w:numPr>
        <w:pStyle w:val="Compact"/>
      </w:pPr>
      <w:r>
        <w:t xml:space="preserve">To identify structural barriers affecting judicial efficiency and impartiality in Turkey's capital city context.</w:t>
      </w:r>
    </w:p>
    <w:p>
      <w:pPr>
        <w:numPr>
          <w:ilvl w:val="0"/>
          <w:numId w:val="1001"/>
        </w:numPr>
        <w:pStyle w:val="Compact"/>
      </w:pPr>
      <w:r>
        <w:t xml:space="preserve">To develop evidence-based recommendations for enhancing judicial capacity aligned with international standards, specifically tailored to Ankara's institutional environment.</w:t>
      </w:r>
    </w:p>
    <w:bookmarkEnd w:id="22"/>
    <w:bookmarkStart w:id="23" w:name="iv.-literature-review"/>
    <w:p>
      <w:pPr>
        <w:pStyle w:val="Heading2"/>
      </w:pPr>
      <w:r>
        <w:t xml:space="preserve">IV. Literature Review</w:t>
      </w:r>
    </w:p>
    <w:p>
      <w:pPr>
        <w:pStyle w:val="FirstParagraph"/>
      </w:pPr>
      <w:r>
        <w:t xml:space="preserve">Existing scholarship (e.g., Akyüz, 2019; Demir &amp; Gürsoy, 2021) primarily examines Turkey's judiciary through macro-level political lenses but neglects granular analysis of Ankara’s operational realities. Studies by the Turkish Bar Association (TBB, 2020) highlight systemic issues in judicial appointments but omit comparative data from Ankara's courts. Notably, no research has systematically mapped how a</w:t>
      </w:r>
      <w:r>
        <w:t xml:space="preserve"> </w:t>
      </w:r>
      <w:r>
        <w:rPr>
          <w:iCs/>
          <w:i/>
        </w:rPr>
        <w:t xml:space="preserve">Judge</w:t>
      </w:r>
      <w:r>
        <w:t xml:space="preserve">'s daily workflow in Ankara interacts with national reform agendas. This study bridges that gap by focusing on Ankara as both a geographic and institutional microcosm of Turkey's judicial challenges.</w:t>
      </w:r>
    </w:p>
    <w:bookmarkEnd w:id="23"/>
    <w:bookmarkStart w:id="24" w:name="v.-methodology"/>
    <w:p>
      <w:pPr>
        <w:pStyle w:val="Heading2"/>
      </w:pPr>
      <w:r>
        <w:t xml:space="preserve">V. Methodology</w:t>
      </w:r>
    </w:p>
    <w:p>
      <w:pPr>
        <w:pStyle w:val="FirstParagraph"/>
      </w:pPr>
      <w:r>
        <w:t xml:space="preserve">This mixed-methods research combines quantitative and qualitative approaches:</w:t>
      </w:r>
    </w:p>
    <w:p>
      <w:pPr>
        <w:numPr>
          <w:ilvl w:val="0"/>
          <w:numId w:val="1002"/>
        </w:numPr>
        <w:pStyle w:val="Compact"/>
      </w:pPr>
      <w:r>
        <w:rPr>
          <w:bCs/>
          <w:b/>
        </w:rPr>
        <w:t xml:space="preserve">Phase 1 (Quantitative):</w:t>
      </w:r>
      <w:r>
        <w:t xml:space="preserve"> </w:t>
      </w:r>
      <w:r>
        <w:t xml:space="preserve">Survey of 300 sitting judges across Ankara's 15 district courts, measuring variables like perceived independence (using a modified scale from the Global Judicial Impact Index), professional development satisfaction, and administrative burdens.</w:t>
      </w:r>
    </w:p>
    <w:p>
      <w:pPr>
        <w:numPr>
          <w:ilvl w:val="0"/>
          <w:numId w:val="1002"/>
        </w:numPr>
        <w:pStyle w:val="Compact"/>
      </w:pPr>
      <w:r>
        <w:rPr>
          <w:bCs/>
          <w:b/>
        </w:rPr>
        <w:t xml:space="preserve">Phase 2 (Qualitative):</w:t>
      </w:r>
      <w:r>
        <w:t xml:space="preserve"> </w:t>
      </w:r>
      <w:r>
        <w:t xml:space="preserve">In-depth interviews with 40 judges and court administrators in Ankara, supplemented by document analysis of HSYK reports, judicial training records (2018–2023), and case management data from Ankara's Judicial Information System.</w:t>
      </w:r>
    </w:p>
    <w:p>
      <w:pPr>
        <w:numPr>
          <w:ilvl w:val="0"/>
          <w:numId w:val="1002"/>
        </w:numPr>
        <w:pStyle w:val="Compact"/>
      </w:pPr>
      <w:r>
        <w:rPr>
          <w:bCs/>
          <w:b/>
        </w:rPr>
        <w:t xml:space="preserve">Phase 3 (Comparative Analysis):</w:t>
      </w:r>
      <w:r>
        <w:t xml:space="preserve"> </w:t>
      </w:r>
      <w:r>
        <w:t xml:space="preserve">Benchmarking Ankara's practices against peer cities in EU member states (e.g., Brussels, Lisbon) using OECD judicial performance indicators.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Research Proposal</w:t>
      </w:r>
      <w:r>
        <w:t xml:space="preserve"> </w:t>
      </w:r>
      <w:r>
        <w:t xml:space="preserve">will yield three transformative outcomes for Turkey Ankara:</w:t>
      </w:r>
    </w:p>
    <w:p>
      <w:pPr>
        <w:numPr>
          <w:ilvl w:val="0"/>
          <w:numId w:val="1003"/>
        </w:numPr>
        <w:pStyle w:val="Compact"/>
      </w:pPr>
      <w:r>
        <w:rPr>
          <w:bCs/>
          <w:b/>
        </w:rPr>
        <w:t xml:space="preserve">Evidence-Based Policy Blueprint:</w:t>
      </w:r>
      <w:r>
        <w:t xml:space="preserve"> </w:t>
      </w:r>
      <w:r>
        <w:t xml:space="preserve">A comprehensive report proposing tailored reforms for Ankara's judicial training curricula, including modules on constitutional law interpretation and ethics—directly addressing gaps identified in Phase 1.</w:t>
      </w:r>
    </w:p>
    <w:p>
      <w:pPr>
        <w:numPr>
          <w:ilvl w:val="0"/>
          <w:numId w:val="1003"/>
        </w:numPr>
        <w:pStyle w:val="Compact"/>
      </w:pPr>
      <w:r>
        <w:rPr>
          <w:bCs/>
          <w:b/>
        </w:rPr>
        <w:t xml:space="preserve">Independence Diagnostic Toolkit:</w:t>
      </w:r>
      <w:r>
        <w:t xml:space="preserve"> </w:t>
      </w:r>
      <w:r>
        <w:t xml:space="preserve">A standardized assessment framework to monitor judicial autonomy in Ankara’s courts, enabling real-time tracking of reform efficacy for the Ministry of Justice.</w:t>
      </w:r>
    </w:p>
    <w:p>
      <w:pPr>
        <w:numPr>
          <w:ilvl w:val="0"/>
          <w:numId w:val="1003"/>
        </w:numPr>
        <w:pStyle w:val="Compact"/>
      </w:pPr>
      <w:r>
        <w:rPr>
          <w:bCs/>
          <w:b/>
        </w:rPr>
        <w:t xml:space="preserve">Professional Development Framework:</w:t>
      </w:r>
      <w:r>
        <w:t xml:space="preserve"> </w:t>
      </w:r>
      <w:r>
        <w:t xml:space="preserve">An actionable model for continuous judicial education, emphasizing AI-assisted case analysis and human rights litigation skills—critical for modernizing Ankara's bench.</w:t>
      </w:r>
    </w:p>
    <w:p>
      <w:pPr>
        <w:pStyle w:val="FirstParagraph"/>
      </w:pPr>
      <w:r>
        <w:t xml:space="preserve">The significance extends beyond academia: Findings will directly inform the ongoing Judicial Training Center (JTC) reforms in Ankara. As the city houses Turkey’s largest concentration of judges (</w:t>
      </w:r>
      <w:r>
        <w:rPr>
          <w:iCs/>
          <w:i/>
        </w:rPr>
        <w:t xml:space="preserve">over 5,000 judicial officers</w:t>
      </w:r>
      <w:r>
        <w:t xml:space="preserve">), this research provides a replicable model for national judicial modernization. Crucially, it centers</w:t>
      </w:r>
      <w:r>
        <w:t xml:space="preserve"> </w:t>
      </w:r>
      <w:r>
        <w:rPr>
          <w:iCs/>
          <w:i/>
        </w:rPr>
        <w:t xml:space="preserve">Judge</w:t>
      </w:r>
      <w:r>
        <w:t xml:space="preserve"> </w:t>
      </w:r>
      <w:r>
        <w:t xml:space="preserve">perspectives—a voice often marginalized in top-down reform processes—ensuring solutions align with on-ground realities.</w:t>
      </w:r>
    </w:p>
    <w:bookmarkEnd w:id="25"/>
    <w:bookmarkStart w:id="26" w:name="Xe82266741caff88047b755a2a520882c1ec5144"/>
    <w:p>
      <w:pPr>
        <w:pStyle w:val="Heading2"/>
      </w:pPr>
      <w:r>
        <w:t xml:space="preserve">VII. Ethical Considerations and Local Context</w:t>
      </w:r>
    </w:p>
    <w:p>
      <w:pPr>
        <w:pStyle w:val="FirstParagraph"/>
      </w:pPr>
      <w:r>
        <w:t xml:space="preserve">All data collection adheres to Turkish ethical guidelines (Turkish Medical Association Guidelines, 2018) and METU’s IRB protocols. Given Ankara’s unique position as Turkey's political capital, the study prioritizes judicial anonymity to protect participants from potential backlash. We acknowledge that judges in Ankara face heightened scrutiny due to their proximity to governmental institutions—a context demanding meticulous ethical safeguards.</w:t>
      </w:r>
    </w:p>
    <w:bookmarkEnd w:id="26"/>
    <w:bookmarkStart w:id="27" w:name="viii.-timeline-and-budget-summary"/>
    <w:p>
      <w:pPr>
        <w:pStyle w:val="Heading2"/>
      </w:pPr>
      <w:r>
        <w:t xml:space="preserve">VIII. Timeline and Budget (Summary)</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Field Preparation &amp; Ethics Approval</w:t>
      </w:r>
    </w:p>
    <w:p>
      <w:pPr>
        <w:pStyle w:val="BodyText"/>
      </w:pPr>
      <w:r>
        <w:t xml:space="preserve">Months 1–2</w:t>
      </w:r>
    </w:p>
    <w:p>
      <w:pPr>
        <w:pStyle w:val="BodyText"/>
      </w:pPr>
      <w:r>
        <w:t xml:space="preserve">Liaison with Ankara Bar Association; IRB clearance; Survey design finalization.</w:t>
      </w:r>
    </w:p>
    <w:p>
      <w:pPr>
        <w:pStyle w:val="BodyText"/>
      </w:pPr>
      <w:r>
        <w:t xml:space="preserve">Data Collection (Quantitative)</w:t>
      </w:r>
    </w:p>
    <w:p>
      <w:pPr>
        <w:pStyle w:val="BodyText"/>
      </w:pPr>
      <w:r>
        <w:t xml:space="preserve">Months 3–5</w:t>
      </w:r>
    </w:p>
    <w:p>
      <w:pPr>
        <w:pStyle w:val="BodyText"/>
      </w:pPr>
      <w:r>
        <w:t xml:space="preserve">Distribution of surveys across Ankara courts; data validation.</w:t>
      </w:r>
    </w:p>
    <w:p>
      <w:pPr>
        <w:pStyle w:val="BodyText"/>
      </w:pPr>
      <w:r>
        <w:t xml:space="preserve">Data Collection (Qualitative)</w:t>
      </w:r>
    </w:p>
    <w:p>
      <w:pPr>
        <w:pStyle w:val="BodyText"/>
      </w:pPr>
      <w:r>
        <w:t xml:space="preserve">Months 6–8</w:t>
      </w:r>
    </w:p>
    <w:p>
      <w:pPr>
        <w:pStyle w:val="BodyText"/>
      </w:pPr>
      <w:r>
        <w:rPr>
          <w:bCs/>
          <w:b/>
        </w:rPr>
        <w:t xml:space="preserve">Interviews with judges; document analysis.</w:t>
      </w:r>
    </w:p>
    <w:p>
      <w:pPr>
        <w:pStyle w:val="BodyText"/>
      </w:pPr>
      <w:r>
        <w:t xml:space="preserve">Analysis &amp; Report Drafting</w:t>
      </w:r>
    </w:p>
    <w:p>
      <w:pPr>
        <w:pStyle w:val="BodyText"/>
      </w:pPr>
      <w:r>
        <w:t xml:space="preserve">Months 9–10</w:t>
      </w:r>
    </w:p>
    <w:p>
      <w:pPr>
        <w:pStyle w:val="BodyText"/>
      </w:pPr>
      <w:r>
        <w:t xml:space="preserve">Data triangulation; policy draft preparation.</w:t>
      </w:r>
    </w:p>
    <w:p>
      <w:pPr>
        <w:pStyle w:val="BodyText"/>
      </w:pPr>
      <w:r>
        <w:t xml:space="preserve">Dissemination &amp; Policy Engagement</w:t>
      </w:r>
    </w:p>
    <w:p>
      <w:pPr>
        <w:pStyle w:val="BodyText"/>
      </w:pPr>
      <w:r>
        <w:t xml:space="preserve">Month 11</w:t>
      </w:r>
    </w:p>
    <w:p>
      <w:pPr>
        <w:pStyle w:val="BodyText"/>
      </w:pPr>
      <w:r>
        <w:t xml:space="preserve">Stakeholder workshop at Ankara Court Complex; Ministerial briefing.</w:t>
      </w:r>
    </w:p>
    <w:p>
      <w:pPr>
        <w:pStyle w:val="BodyText"/>
      </w:pPr>
      <w:r>
        <w:rPr>
          <w:iCs/>
          <w:i/>
        </w:rPr>
        <w:t xml:space="preserve">Budget:</w:t>
      </w:r>
      <w:r>
        <w:t xml:space="preserve"> </w:t>
      </w:r>
      <w:r>
        <w:t xml:space="preserve">Total requested: $48,500 (covering researcher stipends, travel to Ankara courts, survey tools, and dissemination events). All funds will be managed through METU's international grants office.</w:t>
      </w:r>
    </w:p>
    <w:bookmarkEnd w:id="27"/>
    <w:bookmarkStart w:id="28" w:name="ix.-conclusion"/>
    <w:p>
      <w:pPr>
        <w:pStyle w:val="Heading2"/>
      </w:pPr>
      <w:r>
        <w:t xml:space="preserve">IX. Conclusion</w:t>
      </w:r>
    </w:p>
    <w:p>
      <w:pPr>
        <w:pStyle w:val="FirstParagraph"/>
      </w:pPr>
      <w:r>
        <w:t xml:space="preserve">This</w:t>
      </w:r>
      <w:r>
        <w:t xml:space="preserve"> </w:t>
      </w:r>
      <w:r>
        <w:rPr>
          <w:iCs/>
          <w:i/>
        </w:rPr>
        <w:t xml:space="preserve">Research Proposal</w:t>
      </w:r>
      <w:r>
        <w:t xml:space="preserve"> </w:t>
      </w:r>
      <w:r>
        <w:t xml:space="preserve">delivers a timely scholarly contribution at the intersection of judicial governance and urban legal infrastructure in Turkey Ankara. By centering the lived experience of judges within Ankara’s court system—a setting where constitutional principles are both tested and upheld—we move beyond abstract debates to generate actionable solutions. As Turkey navigates its judicial reform trajectory, this study provides a critical evidence base for strengthening the bench that serves as the cornerstone of legal certainty in Ankara and across Turkey. The outcomes will empower judges, inform policymakers, and ultimately reinforce public trust in the judiciary—making Ankara not merely a geographic location but a catalyst for systemic transformation.</w:t>
      </w:r>
    </w:p>
    <w:p>
      <w:pPr>
        <w:pStyle w:val="BodyText"/>
      </w:pPr>
      <w:r>
        <w:rPr>
          <w:iCs/>
          <w:i/>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Professional Development of Judges in Turkey Ankara</dc:title>
  <dc:creator/>
  <dc:language>en</dc:language>
  <cp:keywords/>
  <dcterms:created xsi:type="dcterms:W3CDTF">2025-12-11T13:38:27Z</dcterms:created>
  <dcterms:modified xsi:type="dcterms:W3CDTF">2025-12-11T13:38:27Z</dcterms:modified>
</cp:coreProperties>
</file>

<file path=docProps/custom.xml><?xml version="1.0" encoding="utf-8"?>
<Properties xmlns="http://schemas.openxmlformats.org/officeDocument/2006/custom-properties" xmlns:vt="http://schemas.openxmlformats.org/officeDocument/2006/docPropsVTypes"/>
</file>