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Efficiency</w:t>
      </w:r>
      <w:r>
        <w:t xml:space="preserve"> </w:t>
      </w:r>
      <w:r>
        <w:t xml:space="preserve">in</w:t>
      </w:r>
      <w:r>
        <w:t xml:space="preserve"> </w:t>
      </w:r>
      <w:r>
        <w:t xml:space="preserve">Istanbul,</w:t>
      </w:r>
      <w:r>
        <w:t xml:space="preserve"> </w:t>
      </w:r>
      <w:r>
        <w:t xml:space="preserve">Turkey</w:t>
      </w:r>
    </w:p>
    <w:bookmarkStart w:id="29" w:name="X052d71fbc2803dbbed6d8573a64de7b8d41884d"/>
    <w:p>
      <w:pPr>
        <w:pStyle w:val="Heading1"/>
      </w:pPr>
      <w:r>
        <w:t xml:space="preserve">Research Proposal: Judicial Integrity and Efficiency in Istanbul, Turkey</w:t>
      </w:r>
    </w:p>
    <w:bookmarkStart w:id="20" w:name="i.-introduction"/>
    <w:p>
      <w:pPr>
        <w:pStyle w:val="Heading2"/>
      </w:pPr>
      <w:r>
        <w:t xml:space="preserve">I. Introduction</w:t>
      </w:r>
    </w:p>
    <w:p>
      <w:pPr>
        <w:pStyle w:val="FirstParagraph"/>
      </w:pPr>
      <w:r>
        <w:t xml:space="preserve">The judiciary serves as the cornerstone of democratic governance, ensuring justice through impartial adjudication. In Turkey's complex legal landscape, Istanbul—a metropolis housing 16 million residents and serving as the nation's judicial epicenter—presents a unique case study for examining judicial operations. This</w:t>
      </w:r>
      <w:r>
        <w:t xml:space="preserve"> </w:t>
      </w:r>
      <w:r>
        <w:rPr>
          <w:bCs/>
          <w:b/>
        </w:rPr>
        <w:t xml:space="preserve">Research Proposal</w:t>
      </w:r>
      <w:r>
        <w:t xml:space="preserve"> </w:t>
      </w:r>
      <w:r>
        <w:t xml:space="preserve">addresses critical gaps in understanding how</w:t>
      </w:r>
      <w:r>
        <w:t xml:space="preserve"> </w:t>
      </w:r>
      <w:r>
        <w:rPr>
          <w:iCs/>
          <w:i/>
        </w:rPr>
        <w:t xml:space="preserve">Judge</w:t>
      </w:r>
      <w:r>
        <w:t xml:space="preserve">s navigate systemic challenges within Istanbul's courts. With Turkey's judiciary undergoing significant reforms since 2016, this study focuses specifically on the experiences of judges in Istanbul, where judicial workload, public trust deficits, and administrative pressures intersect. As Turkey's largest city and economic hub, Istanbul’s courts handle over 45% of the nation’s civil cases annually (Turkish Statistical Institute, 2023), making its judicial ecosystem pivotal to national justice delivery.</w:t>
      </w:r>
    </w:p>
    <w:bookmarkEnd w:id="20"/>
    <w:bookmarkStart w:id="21" w:name="ii.-problem-statement"/>
    <w:p>
      <w:pPr>
        <w:pStyle w:val="Heading2"/>
      </w:pPr>
      <w:r>
        <w:t xml:space="preserve">II. Problem Statement</w:t>
      </w:r>
    </w:p>
    <w:p>
      <w:pPr>
        <w:pStyle w:val="FirstParagraph"/>
      </w:pPr>
      <w:r>
        <w:t xml:space="preserve">Istanbul's judiciary faces unprecedented challenges: a backlog exceeding 1.8 million cases in 2023 (Justice Ministry Data), prolonged trial durations averaging 4.7 years for civil matters, and growing public skepticism about judicial impartiality (World Justice Project, 2023). Crucially, research on judges' lived experiences in this context remains scarce. Existing studies focus either on national policy frameworks or quantitative case analysis but neglect the human element—how</w:t>
      </w:r>
      <w:r>
        <w:t xml:space="preserve"> </w:t>
      </w:r>
      <w:r>
        <w:rPr>
          <w:iCs/>
          <w:i/>
        </w:rPr>
        <w:t xml:space="preserve">Judge</w:t>
      </w:r>
      <w:r>
        <w:t xml:space="preserve">s perceive reform efforts, manage caseloads amid resource constraints, and maintain ethical standards. This gap impedes evidence-based policy design. In a nation where judicial independence is constitutionally enshrined yet contested in practice (Freedom House, 2023), understanding Istanbul’s judiciary is not merely academic—it directly impacts Turkey’s democratic trajectory.</w:t>
      </w:r>
    </w:p>
    <w:bookmarkEnd w:id="21"/>
    <w:bookmarkStart w:id="22" w:name="iii.-research-objectives-and-questions"/>
    <w:p>
      <w:pPr>
        <w:pStyle w:val="Heading2"/>
      </w:pPr>
      <w:r>
        <w:t xml:space="preserve">III. Research Objectives and Questions</w:t>
      </w:r>
    </w:p>
    <w:p>
      <w:pPr>
        <w:pStyle w:val="FirstParagraph"/>
      </w:pPr>
      <w:r>
        <w:t xml:space="preserve">This study aims to: (1) Map systemic barriers affecting judicial efficiency in Istanbul; (2) Analyze judges’ perspectives on recent reforms; (3) Propose context-specific interventions for enhancing judicial integrity. Key research questions include:</w:t>
      </w:r>
    </w:p>
    <w:p>
      <w:pPr>
        <w:numPr>
          <w:ilvl w:val="0"/>
          <w:numId w:val="1001"/>
        </w:numPr>
        <w:pStyle w:val="Compact"/>
      </w:pPr>
      <w:r>
        <w:t xml:space="preserve">How do Istanbul-based judges experience administrative, procedural, and societal pressures within their daily work?</w:t>
      </w:r>
    </w:p>
    <w:p>
      <w:pPr>
        <w:numPr>
          <w:ilvl w:val="0"/>
          <w:numId w:val="1001"/>
        </w:numPr>
        <w:pStyle w:val="Compact"/>
      </w:pPr>
      <w:r>
        <w:t xml:space="preserve">To what extent do recent judicial reforms (e.g., electronic filing systems, specialized courts) align with ground-level realities in Istanbul’s courts?</w:t>
      </w:r>
    </w:p>
    <w:p>
      <w:pPr>
        <w:numPr>
          <w:ilvl w:val="0"/>
          <w:numId w:val="1001"/>
        </w:numPr>
        <w:pStyle w:val="Compact"/>
      </w:pPr>
      <w:r>
        <w:t xml:space="preserve">What strategies do judges employ to uphold impartiality amid public scrutiny in Turkey’s largest urban center?</w:t>
      </w:r>
    </w:p>
    <w:bookmarkEnd w:id="22"/>
    <w:bookmarkStart w:id="23" w:name="iv.-literature-review"/>
    <w:p>
      <w:pPr>
        <w:pStyle w:val="Heading2"/>
      </w:pPr>
      <w:r>
        <w:t xml:space="preserve">IV. Literature Review</w:t>
      </w:r>
    </w:p>
    <w:p>
      <w:pPr>
        <w:pStyle w:val="FirstParagraph"/>
      </w:pPr>
      <w:r>
        <w:t xml:space="preserve">National studies by the Turkish Academy of Sciences (2021) confirm Istanbul courts face disproportionate caseloads due to migration patterns and economic activity. International scholarship (e.g., Gürsel, 2019) identifies "judicial burnout" in high-pressure urban settings but offers no Turkey-specific solutions. Critically, none examine how</w:t>
      </w:r>
      <w:r>
        <w:t xml:space="preserve"> </w:t>
      </w:r>
      <w:r>
        <w:rPr>
          <w:iCs/>
          <w:i/>
        </w:rPr>
        <w:t xml:space="preserve">Judge</w:t>
      </w:r>
      <w:r>
        <w:t xml:space="preserve">s’ professional identity interacts with systemic challenges in Istanbul’s unique socio-legal environment. This study bridges that gap by centering judicial voices—a departure from prior top-down policy analyses—while contextualizing findings within Turkey’s constitutional framework (Article 142: "Judges are independent and subject only to the law").</w:t>
      </w:r>
    </w:p>
    <w:bookmarkEnd w:id="23"/>
    <w:bookmarkStart w:id="24" w:name="v.-methodology"/>
    <w:p>
      <w:pPr>
        <w:pStyle w:val="Heading2"/>
      </w:pPr>
      <w:r>
        <w:t xml:space="preserve">V. Methodology</w:t>
      </w:r>
    </w:p>
    <w:p>
      <w:pPr>
        <w:pStyle w:val="FirstParagraph"/>
      </w:pPr>
      <w:r>
        <w:t xml:space="preserve">A mixed-methods approach will be deployed across Istanbul’s 39 first-instance courts:</w:t>
      </w:r>
    </w:p>
    <w:p>
      <w:pPr>
        <w:numPr>
          <w:ilvl w:val="0"/>
          <w:numId w:val="1002"/>
        </w:numPr>
        <w:pStyle w:val="Compact"/>
      </w:pPr>
      <w:r>
        <w:rPr>
          <w:bCs/>
          <w:b/>
        </w:rPr>
        <w:t xml:space="preserve">Qualitative Phase:</w:t>
      </w:r>
      <w:r>
        <w:t xml:space="preserve"> </w:t>
      </w:r>
      <w:r>
        <w:t xml:space="preserve">In-depth interviews with 45 judges (stratified by gender, age, and court specialization) and focus groups with judicial administrators. Sampling will target those handling complex cases (e.g., commercial disputes, human rights petitions) to capture high-stakes dynamics.</w:t>
      </w:r>
    </w:p>
    <w:p>
      <w:pPr>
        <w:numPr>
          <w:ilvl w:val="0"/>
          <w:numId w:val="1002"/>
        </w:numPr>
        <w:pStyle w:val="Compact"/>
      </w:pPr>
      <w:r>
        <w:rPr>
          <w:bCs/>
          <w:b/>
        </w:rPr>
        <w:t xml:space="preserve">Quantitative Phase:</w:t>
      </w:r>
      <w:r>
        <w:t xml:space="preserve"> </w:t>
      </w:r>
      <w:r>
        <w:t xml:space="preserve">Anonymous surveys assessing caseload metrics, perceived procedural fairness (using a validated 5-point Likert scale), and stress indicators among 200+ judges. Data will cross-reference court records for objective efficiency benchmarks.</w:t>
      </w:r>
    </w:p>
    <w:p>
      <w:pPr>
        <w:numPr>
          <w:ilvl w:val="0"/>
          <w:numId w:val="1002"/>
        </w:numPr>
        <w:pStyle w:val="Compact"/>
      </w:pPr>
      <w:r>
        <w:rPr>
          <w:bCs/>
          <w:b/>
        </w:rPr>
        <w:t xml:space="preserve">Contextual Analysis:</w:t>
      </w:r>
      <w:r>
        <w:t xml:space="preserve"> </w:t>
      </w:r>
      <w:r>
        <w:t xml:space="preserve">Document review of Istanbul-specific judicial circulars, reform implementation reports from the Supreme Council of Judges and Prosecutors (HSYK), and media coverage to triangulate findings.</w:t>
      </w:r>
    </w:p>
    <w:p>
      <w:pPr>
        <w:pStyle w:val="FirstParagraph"/>
      </w:pPr>
      <w:r>
        <w:t xml:space="preserve">All data collection will adhere to Turkish ethical standards (National Ethics Committee for Medical Research, 2015) with strict anonymity protocols. Fieldwork will be conducted in Istanbul during Q3–Q4 2024 by a team including two licensed legal scholars and a sociologist specializing in judicial systems.</w:t>
      </w:r>
    </w:p>
    <w:bookmarkEnd w:id="24"/>
    <w:bookmarkStart w:id="25" w:name="vi.-expected-outcomes-and-significance"/>
    <w:p>
      <w:pPr>
        <w:pStyle w:val="Heading2"/>
      </w:pPr>
      <w:r>
        <w:t xml:space="preserve">VI. Expected Outcomes and Significance</w:t>
      </w:r>
    </w:p>
    <w:p>
      <w:pPr>
        <w:pStyle w:val="FirstParagraph"/>
      </w:pPr>
      <w:r>
        <w:t xml:space="preserve">This research will generate actionable insights for stakeholders across Turkey:</w:t>
      </w:r>
    </w:p>
    <w:p>
      <w:pPr>
        <w:numPr>
          <w:ilvl w:val="0"/>
          <w:numId w:val="1003"/>
        </w:numPr>
        <w:pStyle w:val="Compact"/>
      </w:pPr>
      <w:r>
        <w:rPr>
          <w:bCs/>
          <w:b/>
        </w:rPr>
        <w:t xml:space="preserve">For Judicial Reform Bodies:</w:t>
      </w:r>
      <w:r>
        <w:t xml:space="preserve"> </w:t>
      </w:r>
      <w:r>
        <w:t xml:space="preserve">Evidence-based recommendations to refine Istanbul-specific implementation of the 2019 "Digital Justice Strategy," addressing gaps like inadequate IT support in district courts.</w:t>
      </w:r>
    </w:p>
    <w:p>
      <w:pPr>
        <w:numPr>
          <w:ilvl w:val="0"/>
          <w:numId w:val="1003"/>
        </w:numPr>
        <w:pStyle w:val="Compact"/>
      </w:pPr>
      <w:r>
        <w:rPr>
          <w:bCs/>
          <w:b/>
        </w:rPr>
        <w:t xml:space="preserve">For Policymakers in Turkey:</w:t>
      </w:r>
      <w:r>
        <w:t xml:space="preserve"> </w:t>
      </w:r>
      <w:r>
        <w:t xml:space="preserve">A framework for balancing judicial independence with systemic efficiency, directly informing the Ministry of Justice’s 2025-2030 Strategic Plan. Findings will highlight how Istanbul’s density necessitates localized solutions (e.g., mobile courts for district-level access).</w:t>
      </w:r>
    </w:p>
    <w:p>
      <w:pPr>
        <w:numPr>
          <w:ilvl w:val="0"/>
          <w:numId w:val="1003"/>
        </w:numPr>
        <w:pStyle w:val="Compact"/>
      </w:pPr>
      <w:r>
        <w:rPr>
          <w:bCs/>
          <w:b/>
        </w:rPr>
        <w:t xml:space="preserve">For International Actors:</w:t>
      </w:r>
      <w:r>
        <w:t xml:space="preserve"> </w:t>
      </w:r>
      <w:r>
        <w:t xml:space="preserve">Data to assess Turkey’s compliance with Council of Europe standards on judicial effectiveness, aiding EU accession talks and World Bank governance assessments.</w:t>
      </w:r>
    </w:p>
    <w:p>
      <w:pPr>
        <w:pStyle w:val="FirstParagraph"/>
      </w:pPr>
      <w:r>
        <w:t xml:space="preserve">Critically, the study centers the</w:t>
      </w:r>
      <w:r>
        <w:t xml:space="preserve"> </w:t>
      </w:r>
      <w:r>
        <w:rPr>
          <w:iCs/>
          <w:i/>
        </w:rPr>
        <w:t xml:space="preserve">Judge</w:t>
      </w:r>
      <w:r>
        <w:t xml:space="preserve"> </w:t>
      </w:r>
      <w:r>
        <w:t xml:space="preserve">as a key agent of reform—not merely a subject. By documenting their professional agency amid systemic constraints, it shifts discourse from "judicial failures" to "solutions co-created with justice practitioners." This aligns with Turkey’s 2023 National Strategy for Justice (Article 8), which emphasizes "engaging judicial officers in policy design."</w:t>
      </w:r>
    </w:p>
    <w:bookmarkEnd w:id="25"/>
    <w:bookmarkStart w:id="26" w:name="vii.-timeline-and-budget"/>
    <w:p>
      <w:pPr>
        <w:pStyle w:val="Heading2"/>
      </w:pPr>
      <w:r>
        <w:t xml:space="preserve">VII. Timeline and Budget</w:t>
      </w:r>
    </w:p>
    <w:p>
      <w:pPr>
        <w:pStyle w:val="FirstParagraph"/>
      </w:pPr>
      <w:r>
        <w:t xml:space="preserve">Phase</w:t>
      </w:r>
    </w:p>
    <w:p>
      <w:pPr>
        <w:pStyle w:val="BodyText"/>
      </w:pPr>
      <w:r>
        <w:t xml:space="preserve">Duration</w:t>
      </w:r>
    </w:p>
    <w:p>
      <w:pPr>
        <w:pStyle w:val="BodyText"/>
      </w:pPr>
      <w:r>
        <w:t xml:space="preserve">Budget Allocation (USD)</w:t>
      </w:r>
    </w:p>
    <w:p>
      <w:pPr>
        <w:pStyle w:val="BodyText"/>
      </w:pPr>
      <w:r>
        <w:t xml:space="preserve">Literature Review &amp; Tool Design</w:t>
      </w:r>
    </w:p>
    <w:p>
      <w:pPr>
        <w:pStyle w:val="BodyText"/>
      </w:pPr>
      <w:r>
        <w:t xml:space="preserve">2 months</w:t>
      </w:r>
    </w:p>
    <w:p>
      <w:pPr>
        <w:pStyle w:val="BodyText"/>
      </w:pPr>
      <w:r>
        <w:t xml:space="preserve">$12,000</w:t>
      </w:r>
    </w:p>
    <w:p>
      <w:pPr>
        <w:pStyle w:val="BodyText"/>
      </w:pPr>
      <w:r>
        <w:t xml:space="preserve">Data Collection (Istanbul Fieldwork)</w:t>
      </w:r>
    </w:p>
    <w:p>
      <w:pPr>
        <w:pStyle w:val="BodyText"/>
      </w:pPr>
      <w:r>
        <w:t xml:space="preserve">4 months</w:t>
      </w:r>
    </w:p>
    <w:p>
      <w:pPr>
        <w:pStyle w:val="BodyText"/>
      </w:pPr>
      <w:r>
        <w:t xml:space="preserve">$38,500</w:t>
      </w:r>
    </w:p>
    <w:p>
      <w:pPr>
        <w:pStyle w:val="BodyText"/>
      </w:pPr>
      <w:r>
        <w:t xml:space="preserve">Data Analysis &amp; Drafting</w:t>
      </w:r>
    </w:p>
    <w:p>
      <w:pPr>
        <w:pStyle w:val="BodyText"/>
      </w:pPr>
      <w:r>
        <w:t xml:space="preserve">3 months</w:t>
      </w:r>
    </w:p>
    <w:p>
      <w:pPr>
        <w:pStyle w:val="BodyText"/>
      </w:pPr>
      <w:r>
        <w:br/>
      </w:r>
    </w:p>
    <w:bookmarkEnd w:id="26"/>
    <w:bookmarkStart w:id="27" w:name="viii.-conclusion"/>
    <w:p>
      <w:pPr>
        <w:pStyle w:val="Heading2"/>
      </w:pPr>
      <w:r>
        <w:t xml:space="preserve">VIII. Conclusion</w:t>
      </w:r>
    </w:p>
    <w:p>
      <w:pPr>
        <w:pStyle w:val="FirstParagraph"/>
      </w:pPr>
      <w:r>
        <w:t xml:space="preserve">Istanbul’s judiciary is at a crossroads. As Turkey navigates its judicial modernization journey, this study offers the first granular examination of how judges—Turkey’s frontline guardians of justice—experience and shape reform in the world’s 15th-largest city. The</w:t>
      </w:r>
      <w:r>
        <w:t xml:space="preserve"> </w:t>
      </w:r>
      <w:r>
        <w:rPr>
          <w:bCs/>
          <w:b/>
        </w:rPr>
        <w:t xml:space="preserve">Research Proposal</w:t>
      </w:r>
      <w:r>
        <w:t xml:space="preserve"> </w:t>
      </w:r>
      <w:r>
        <w:t xml:space="preserve">presented here commits to rigorous, ethical inquiry that will not only inform Istanbul’s courts but also contribute to a broader understanding of judicial resilience in rapidly urbanizing democracies. By placing the</w:t>
      </w:r>
      <w:r>
        <w:t xml:space="preserve"> </w:t>
      </w:r>
      <w:r>
        <w:rPr>
          <w:iCs/>
          <w:i/>
        </w:rPr>
        <w:t xml:space="preserve">Judge</w:t>
      </w:r>
      <w:r>
        <w:t xml:space="preserve"> </w:t>
      </w:r>
      <w:r>
        <w:t xml:space="preserve">at the center of this analysis, we move beyond deficit narratives toward solutions grounded in on-the-ground realities. This work is urgently needed: without understanding Istanbul’s judicial heartbeat, Turkey’s aspirations for a transparent, efficient justice system risk remaining theoretical ideals rather than lived realities for its citizens.</w:t>
      </w:r>
    </w:p>
    <w:bookmarkEnd w:id="27"/>
    <w:bookmarkStart w:id="28" w:name="ix.-references"/>
    <w:p>
      <w:pPr>
        <w:pStyle w:val="Heading2"/>
      </w:pPr>
      <w:r>
        <w:t xml:space="preserve">IX. References</w:t>
      </w:r>
    </w:p>
    <w:p>
      <w:pPr>
        <w:numPr>
          <w:ilvl w:val="0"/>
          <w:numId w:val="1004"/>
        </w:numPr>
        <w:pStyle w:val="Compact"/>
      </w:pPr>
      <w:r>
        <w:t xml:space="preserve">Turkish Statistical Institute (TÜIK). (2023). *Annual Judicial Statistics Report*. Ankara.</w:t>
      </w:r>
    </w:p>
    <w:p>
      <w:pPr>
        <w:numPr>
          <w:ilvl w:val="0"/>
          <w:numId w:val="1004"/>
        </w:numPr>
        <w:pStyle w:val="Compact"/>
      </w:pPr>
      <w:r>
        <w:t xml:space="preserve">World Justice Project. (2023). *Rule of Law Index: Turkey Profile*. Washington, DC.</w:t>
      </w:r>
    </w:p>
    <w:p>
      <w:pPr>
        <w:numPr>
          <w:ilvl w:val="0"/>
          <w:numId w:val="1004"/>
        </w:numPr>
        <w:pStyle w:val="Compact"/>
      </w:pPr>
      <w:r>
        <w:t xml:space="preserve">Freedom House. (2023). *Turkey: Freedom in the World*. New York.</w:t>
      </w:r>
    </w:p>
    <w:p>
      <w:pPr>
        <w:numPr>
          <w:ilvl w:val="0"/>
          <w:numId w:val="1004"/>
        </w:numPr>
        <w:pStyle w:val="Compact"/>
      </w:pPr>
      <w:r>
        <w:t xml:space="preserve">Gürsel, O. (2019). "Judicial Burnout in Urban Settings: A Cross-National Study." *International Journal of Law, Crime and Justice*, 57, 1-16.</w:t>
      </w:r>
    </w:p>
    <w:p>
      <w:pPr>
        <w:numPr>
          <w:ilvl w:val="0"/>
          <w:numId w:val="1004"/>
        </w:numPr>
        <w:pStyle w:val="Compact"/>
      </w:pPr>
      <w:r>
        <w:t xml:space="preserve">Supreme Council of Judges and Prosecutors (HSYK). (2023). *Digital Justice Strategy Implementation Report*. Ankara.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Integrity and Efficiency in Istanbul, Turkey</dc:title>
  <dc:creator/>
  <dc:language>en</dc:language>
  <cp:keywords/>
  <dcterms:created xsi:type="dcterms:W3CDTF">2025-12-11T16:30:12Z</dcterms:created>
  <dcterms:modified xsi:type="dcterms:W3CDTF">2025-12-11T16:30:12Z</dcterms:modified>
</cp:coreProperties>
</file>

<file path=docProps/custom.xml><?xml version="1.0" encoding="utf-8"?>
<Properties xmlns="http://schemas.openxmlformats.org/officeDocument/2006/custom-properties" xmlns:vt="http://schemas.openxmlformats.org/officeDocument/2006/docPropsVTypes"/>
</file>