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Modernization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f64521732790ecb07bafd734a0bd7f60b0e421c"/>
    <w:p>
      <w:pPr>
        <w:pStyle w:val="Heading1"/>
      </w:pPr>
      <w:r>
        <w:t xml:space="preserve">Research Proposal: Advancing Judicial Excellence through Independent Bench in the United Arab Emirates (Abu Dhabi Emirate)</w:t>
      </w:r>
    </w:p>
    <w:bookmarkStart w:id="20" w:name="introduction"/>
    <w:p>
      <w:pPr>
        <w:pStyle w:val="Heading2"/>
      </w:pPr>
      <w:r>
        <w:t xml:space="preserve">1. Introduction</w:t>
      </w:r>
    </w:p>
    <w:p>
      <w:pPr>
        <w:pStyle w:val="FirstParagraph"/>
      </w:pPr>
      <w:r>
        <w:t xml:space="preserve">The United Arab Emirates (UAE) has established itself as a regional hub for commerce, innovation, and governance, with Abu Dhabi serving as the political and economic heart of the nation. Central to this success is a robust judicial system where the role of</w:t>
      </w:r>
      <w:r>
        <w:t xml:space="preserve"> </w:t>
      </w:r>
      <w:r>
        <w:rPr>
          <w:iCs/>
          <w:i/>
        </w:rPr>
        <w:t xml:space="preserve">Judge</w:t>
      </w:r>
      <w:r>
        <w:t xml:space="preserve"> </w:t>
      </w:r>
      <w:r>
        <w:t xml:space="preserve">remains pivotal in upholding the rule of law, protecting citizens' rights, and fostering investor confidence. This research proposal addresses a critical gap in understanding how judicial independence functions within Abu Dhabi's unique legal ecosystem—a system that blends civil law traditions with Islamic jurisprudence under federal frameworks. As the UAE accelerates its Vision 2030 goals, this study will examine whether current judicial structures empower</w:t>
      </w:r>
      <w:r>
        <w:t xml:space="preserve"> </w:t>
      </w:r>
      <w:r>
        <w:rPr>
          <w:iCs/>
          <w:i/>
        </w:rPr>
        <w:t xml:space="preserve">Judge</w:t>
      </w:r>
      <w:r>
        <w:t xml:space="preserve"> </w:t>
      </w:r>
      <w:r>
        <w:t xml:space="preserve">to deliver impartial, efficient, and forward-looking rulings in Abu Dhabi’s evolving socio-economic landscape.</w:t>
      </w:r>
    </w:p>
    <w:bookmarkEnd w:id="20"/>
    <w:bookmarkStart w:id="21" w:name="problem-statement"/>
    <w:p>
      <w:pPr>
        <w:pStyle w:val="Heading2"/>
      </w:pPr>
      <w:r>
        <w:t xml:space="preserve">2. Problem Statement</w:t>
      </w:r>
    </w:p>
    <w:p>
      <w:pPr>
        <w:pStyle w:val="FirstParagraph"/>
      </w:pPr>
      <w:r>
        <w:t xml:space="preserve">Despite significant legal reforms since the UAE's formation in 1971, challenges persist regarding judicial independence in practice. In Abu Dhabi—where 50% of national GDP is generated—the judiciary operates under a dual structure: federal courts handle constitutional matters, while Abu Dhabi’s own judicial system manages local civil and commercial disputes. This creates tension between centralized oversight and localized execution. Crucially,</w:t>
      </w:r>
      <w:r>
        <w:t xml:space="preserve"> </w:t>
      </w:r>
      <w:r>
        <w:rPr>
          <w:iCs/>
          <w:i/>
        </w:rPr>
        <w:t xml:space="preserve">Judge</w:t>
      </w:r>
      <w:r>
        <w:t xml:space="preserve"> </w:t>
      </w:r>
      <w:r>
        <w:t xml:space="preserve">in Abu Dhabi often faces pressures from executive influence during complex cases involving state entities or high-net-worth individuals—a reality that risks undermining public trust. No comprehensive study has yet assessed how these structural dynamics impact judicial outcomes in the Emirate’s premier city, leaving policymakers without evidence-based insights for reform.</w:t>
      </w:r>
    </w:p>
    <w:bookmarkEnd w:id="21"/>
    <w:bookmarkStart w:id="22" w:name="research-objectives"/>
    <w:p>
      <w:pPr>
        <w:pStyle w:val="Heading2"/>
      </w:pPr>
      <w:r>
        <w:t xml:space="preserve">3. Research Objectives</w:t>
      </w:r>
    </w:p>
    <w:p>
      <w:pPr>
        <w:numPr>
          <w:ilvl w:val="0"/>
          <w:numId w:val="1001"/>
        </w:numPr>
        <w:pStyle w:val="Compact"/>
      </w:pPr>
      <w:r>
        <w:t xml:space="preserve">To map the current appointment, training, and operational protocols governing judges within Abu Dhabi’s judiciary.</w:t>
      </w:r>
    </w:p>
    <w:p>
      <w:pPr>
        <w:numPr>
          <w:ilvl w:val="0"/>
          <w:numId w:val="1001"/>
        </w:numPr>
        <w:pStyle w:val="Compact"/>
      </w:pPr>
      <w:r>
        <w:t xml:space="preserve">To analyze case studies of landmark rulings (e.g., commercial disputes involving sovereign wealth funds or foreign investors) to identify patterns of judicial independence or external influence.</w:t>
      </w:r>
    </w:p>
    <w:p>
      <w:pPr>
        <w:numPr>
          <w:ilvl w:val="0"/>
          <w:numId w:val="1001"/>
        </w:numPr>
        <w:pStyle w:val="Compact"/>
      </w:pPr>
      <w:r>
        <w:t xml:space="preserve">To evaluate stakeholder perceptions—including judges, lawyers, business leaders, and civil society—regarding the UAE’s legal framework in Abu Dhabi.</w:t>
      </w:r>
    </w:p>
    <w:p>
      <w:pPr>
        <w:numPr>
          <w:ilvl w:val="0"/>
          <w:numId w:val="1001"/>
        </w:numPr>
        <w:pStyle w:val="Compact"/>
      </w:pPr>
      <w:r>
        <w:t xml:space="preserve">To propose a tailored model for judicial empowerment aligned with both international best practices and Emirati cultural context.</w:t>
      </w:r>
    </w:p>
    <w:bookmarkEnd w:id="22"/>
    <w:bookmarkStart w:id="23" w:name="literature-review"/>
    <w:p>
      <w:pPr>
        <w:pStyle w:val="Heading2"/>
      </w:pPr>
      <w:r>
        <w:t xml:space="preserve">4. Literature Review</w:t>
      </w:r>
    </w:p>
    <w:p>
      <w:pPr>
        <w:pStyle w:val="FirstParagraph"/>
      </w:pPr>
      <w:r>
        <w:t xml:space="preserve">Existing scholarship on UAE judiciary focuses primarily on federal legislation (e.g., Federal Law No. 10 of 1997) or comparative studies with Gulf neighbors like Saudi Arabia. However, none centers specifically on Abu Dhabi’s unique position as the UAE’s constitutional and economic capital. Research by Al-Mansoori (2020) highlights judicial reforms in Dubai but overlooks Abu Dhabi’s distinct legal identity. Meanwhile, international frameworks (e.g., UNODC’s 2019 report on judicial independence) lack context-specific applications for Muslim-majority states balancing Sharia principles with modern governance. This gap necessitates an Emirati-focused study where</w:t>
      </w:r>
      <w:r>
        <w:t xml:space="preserve"> </w:t>
      </w:r>
      <w:r>
        <w:rPr>
          <w:iCs/>
          <w:i/>
        </w:rPr>
        <w:t xml:space="preserve">Judge</w:t>
      </w:r>
      <w:r>
        <w:t xml:space="preserve"> </w:t>
      </w:r>
      <w:r>
        <w:t xml:space="preserve">is not merely a legal actor but the embodiment of justice delivery in Abu Dhabi.</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Analysis:</w:t>
      </w:r>
      <w:r>
        <w:t xml:space="preserve"> </w:t>
      </w:r>
      <w:r>
        <w:t xml:space="preserve">Review of 5 years (2019–2024) of Abu Dhabi Judicial Department case records to measure adjudication timelines, dismissal rates in state-involving cases, and appeal outcomes.</w:t>
      </w:r>
    </w:p>
    <w:p>
      <w:pPr>
        <w:numPr>
          <w:ilvl w:val="0"/>
          <w:numId w:val="1002"/>
        </w:numPr>
        <w:pStyle w:val="Compact"/>
      </w:pPr>
      <w:r>
        <w:rPr>
          <w:bCs/>
          <w:b/>
        </w:rPr>
        <w:t xml:space="preserve">Qualitative Interviews:</w:t>
      </w:r>
      <w:r>
        <w:t xml:space="preserve"> </w:t>
      </w:r>
      <w:r>
        <w:t xml:space="preserve">Semi-structured interviews with 35 purposively selected stakeholders: 15 sitting judges (including senior bench in Abu Dhabi Courts), 10 legal practitioners, and 10 business representatives from ADGM and Abu Dhabi Global Market.</w:t>
      </w:r>
    </w:p>
    <w:p>
      <w:pPr>
        <w:numPr>
          <w:ilvl w:val="0"/>
          <w:numId w:val="1002"/>
        </w:numPr>
        <w:pStyle w:val="Compact"/>
      </w:pPr>
      <w:r>
        <w:rPr>
          <w:bCs/>
          <w:b/>
        </w:rPr>
        <w:t xml:space="preserve">Comparative Benchmarking:</w:t>
      </w:r>
      <w:r>
        <w:t xml:space="preserve"> </w:t>
      </w:r>
      <w:r>
        <w:t xml:space="preserve">Cross-analysis of judicial independence indicators from Singapore, UAE’s peer Gulf states, and Commonwealth nations to identify transferable practices for Abu Dhabi.</w:t>
      </w:r>
    </w:p>
    <w:p>
      <w:pPr>
        <w:pStyle w:val="FirstParagraph"/>
      </w:pPr>
      <w:r>
        <w:t xml:space="preserve">Data collection will adhere to UAE ethical guidelines (Federal Decree No. 7/2015) and be conducted in collaboration with the Abu Dhabi Judicial Department under its 2023 research partnership framework.</w:t>
      </w:r>
    </w:p>
    <w:bookmarkEnd w:id="24"/>
    <w:bookmarkStart w:id="25" w:name="expected-outcomes-and-significance"/>
    <w:p>
      <w:pPr>
        <w:pStyle w:val="Heading2"/>
      </w:pPr>
      <w:r>
        <w:t xml:space="preserve">6. Expected Outcomes and Significance</w:t>
      </w:r>
    </w:p>
    <w:p>
      <w:pPr>
        <w:pStyle w:val="FirstParagraph"/>
      </w:pPr>
      <w:r>
        <w:t xml:space="preserve">This study will generate four key deliverables:</w:t>
      </w:r>
    </w:p>
    <w:p>
      <w:pPr>
        <w:numPr>
          <w:ilvl w:val="0"/>
          <w:numId w:val="1003"/>
        </w:numPr>
        <w:pStyle w:val="Compact"/>
      </w:pPr>
      <w:r>
        <w:t xml:space="preserve">A comprehensive diagnostic report on judicial independence gaps in Abu Dhabi’s legal ecosystem.</w:t>
      </w:r>
    </w:p>
    <w:p>
      <w:pPr>
        <w:numPr>
          <w:ilvl w:val="0"/>
          <w:numId w:val="1003"/>
        </w:numPr>
        <w:pStyle w:val="Compact"/>
      </w:pPr>
      <w:r>
        <w:t xml:space="preserve">Evidence-based policy recommendations for enhancing judge training, judicial appointments, and case management systems.</w:t>
      </w:r>
    </w:p>
    <w:p>
      <w:pPr>
        <w:numPr>
          <w:ilvl w:val="0"/>
          <w:numId w:val="1003"/>
        </w:numPr>
        <w:pStyle w:val="Compact"/>
      </w:pPr>
      <w:r>
        <w:t xml:space="preserve">A culturally attuned model for "Judicial Independence 2.0" that integrates Emirati values with global standards—critical for Abu Dhabi to attract $15B+ in foreign direct investment annually.</w:t>
      </w:r>
    </w:p>
    <w:p>
      <w:pPr>
        <w:numPr>
          <w:ilvl w:val="0"/>
          <w:numId w:val="1003"/>
        </w:numPr>
        <w:pStyle w:val="Compact"/>
      </w:pPr>
      <w:r>
        <w:t xml:space="preserve">Capacity-building workshops for judges and legal officials within the United Arab Emirates, facilitated by Abu Dhabi’s Department of Justice.</w:t>
      </w:r>
    </w:p>
    <w:p>
      <w:pPr>
        <w:pStyle w:val="FirstParagraph"/>
      </w:pPr>
      <w:r>
        <w:t xml:space="preserve">The significance extends beyond academia: By positioning the</w:t>
      </w:r>
      <w:r>
        <w:t xml:space="preserve"> </w:t>
      </w:r>
      <w:r>
        <w:rPr>
          <w:iCs/>
          <w:i/>
        </w:rPr>
        <w:t xml:space="preserve">Judge</w:t>
      </w:r>
      <w:r>
        <w:t xml:space="preserve"> </w:t>
      </w:r>
      <w:r>
        <w:t xml:space="preserve">as a cornerstone of Abu Dhabi’s sustainable governance, this research directly supports UAE President Sheikh Mohamed bin Zayed Al Nahyan’s vision for a "knowledge-based economy." Enhanced judicial credibility will strengthen investor confidence in Abu Dhabi’s capital markets and align with the Emirate’s goal to be ranked among the top 10 global hubs for business by 2030.</w:t>
      </w:r>
    </w:p>
    <w:bookmarkEnd w:id="25"/>
    <w:bookmarkStart w:id="26" w:name="timeline-and-resource-requirements"/>
    <w:p>
      <w:pPr>
        <w:pStyle w:val="Heading2"/>
      </w:pPr>
      <w:r>
        <w:t xml:space="preserve">7. Timeline and Resource Requirements</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Legal document review &amp; stakeholder mapping (Abu Dhabi Judicial Department partnership).</w:t>
      </w:r>
    </w:p>
    <w:p>
      <w:pPr>
        <w:numPr>
          <w:ilvl w:val="0"/>
          <w:numId w:val="1004"/>
        </w:numPr>
        <w:pStyle w:val="Compact"/>
      </w:pPr>
      <w:r>
        <w:rPr>
          <w:bCs/>
          <w:b/>
        </w:rPr>
        <w:t xml:space="preserve">Months 5–10:</w:t>
      </w:r>
      <w:r>
        <w:t xml:space="preserve"> </w:t>
      </w:r>
      <w:r>
        <w:t xml:space="preserve">Data collection via interviews and case analysis (fieldwork in Abu Dhabi City).</w:t>
      </w:r>
    </w:p>
    <w:p>
      <w:pPr>
        <w:numPr>
          <w:ilvl w:val="0"/>
          <w:numId w:val="1004"/>
        </w:numPr>
        <w:pStyle w:val="Compact"/>
      </w:pPr>
      <w:r>
        <w:rPr>
          <w:bCs/>
          <w:b/>
        </w:rPr>
        <w:t xml:space="preserve">Months 11–14:</w:t>
      </w:r>
      <w:r>
        <w:t xml:space="preserve"> </w:t>
      </w:r>
      <w:r>
        <w:t xml:space="preserve">Comparative analysis &amp; draft report.</w:t>
      </w:r>
    </w:p>
    <w:p>
      <w:pPr>
        <w:numPr>
          <w:ilvl w:val="0"/>
          <w:numId w:val="1004"/>
        </w:numPr>
        <w:pStyle w:val="Compact"/>
      </w:pPr>
      <w:r>
        <w:rPr>
          <w:bCs/>
          <w:b/>
        </w:rPr>
        <w:t xml:space="preserve">Months 15–18:</w:t>
      </w:r>
      <w:r>
        <w:t xml:space="preserve"> </w:t>
      </w:r>
      <w:r>
        <w:t xml:space="preserve">Policy workshop series, finalization, and dissemination to UAE federal courts and Abu Dhabi government bodies.</w:t>
      </w:r>
    </w:p>
    <w:p>
      <w:pPr>
        <w:pStyle w:val="FirstParagraph"/>
      </w:pPr>
      <w:r>
        <w:t xml:space="preserve">Total budget: AED 320,000 (covering researcher stipends, travel within UAE, translation services for Arabic-English documents, and stakeholder engagement). All funds would be secured through the Abu Dhabi Research Council’s Legal Innovation Fund.</w:t>
      </w:r>
    </w:p>
    <w:bookmarkEnd w:id="26"/>
    <w:bookmarkStart w:id="28" w:name="conclusion"/>
    <w:p>
      <w:pPr>
        <w:pStyle w:val="Heading2"/>
      </w:pPr>
      <w:r>
        <w:t xml:space="preserve">8. Conclusion</w:t>
      </w:r>
    </w:p>
    <w:p>
      <w:pPr>
        <w:pStyle w:val="FirstParagraph"/>
      </w:pPr>
      <w:r>
        <w:t xml:space="preserve">The judiciary in the United Arab Emirates remains a pillar of stability and progress—but only when its human element—</w:t>
      </w:r>
      <w:r>
        <w:rPr>
          <w:iCs/>
          <w:i/>
        </w:rPr>
        <w:t xml:space="preserve">Judge</w:t>
      </w:r>
      <w:r>
        <w:t xml:space="preserve">—is empowered to act with true independence. In Abu Dhabi, where legal excellence directly impacts national competitiveness, this research is not merely academic; it is an investment in the Emirate’s future. By rigorously examining how judges operate within Abu Dhabi’s specific context, this proposal offers a roadmap for transforming judicial practice into a catalyst for inclusive growth. The findings will serve as a blueprint for modernizing the bench across the UAE while preserving its unique cultural and religious identity—proving that justice, when delivered with integrity, is the ultimate engine of prosperity in today’s United Arab Emirates.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Modernization in Abu Dhabi, United Arab Emirates</dc:title>
  <dc:creator/>
  <dc:language>en</dc:language>
  <cp:keywords/>
  <dcterms:created xsi:type="dcterms:W3CDTF">2025-12-09T14:20:02Z</dcterms:created>
  <dcterms:modified xsi:type="dcterms:W3CDTF">2025-12-09T14:20:02Z</dcterms:modified>
</cp:coreProperties>
</file>

<file path=docProps/custom.xml><?xml version="1.0" encoding="utf-8"?>
<Properties xmlns="http://schemas.openxmlformats.org/officeDocument/2006/custom-properties" xmlns:vt="http://schemas.openxmlformats.org/officeDocument/2006/docPropsVTypes"/>
</file>