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Dubai's</w:t>
      </w:r>
      <w:r>
        <w:t xml:space="preserve"> </w:t>
      </w:r>
      <w:r>
        <w:t xml:space="preserve">Judicial</w:t>
      </w:r>
      <w:r>
        <w:t xml:space="preserve"> </w:t>
      </w:r>
      <w:r>
        <w:t xml:space="preserve">System,</w:t>
      </w:r>
      <w:r>
        <w:t xml:space="preserve"> </w:t>
      </w:r>
      <w:r>
        <w:t xml:space="preserve">United</w:t>
      </w:r>
      <w:r>
        <w:t xml:space="preserve"> </w:t>
      </w:r>
      <w:r>
        <w:t xml:space="preserve">Arab</w:t>
      </w:r>
      <w:r>
        <w:t xml:space="preserve"> </w:t>
      </w:r>
      <w:r>
        <w:t xml:space="preserve">Emirates</w:t>
      </w:r>
    </w:p>
    <w:bookmarkStart w:id="29" w:name="X67ec391c1ac46d277b53984f08d905d27dcdf5f"/>
    <w:p>
      <w:pPr>
        <w:pStyle w:val="Heading1"/>
      </w:pPr>
      <w:r>
        <w:t xml:space="preserve">Research Proposal: The Evolving Role and Impact of Judges in Dubai's Judicial System within the United Arab Emirates Framework</w:t>
      </w:r>
    </w:p>
    <w:bookmarkStart w:id="20" w:name="introduction"/>
    <w:p>
      <w:pPr>
        <w:pStyle w:val="Heading2"/>
      </w:pPr>
      <w:r>
        <w:t xml:space="preserve">1. Introduction</w:t>
      </w:r>
    </w:p>
    <w:p>
      <w:pPr>
        <w:pStyle w:val="FirstParagraph"/>
      </w:pPr>
      <w:r>
        <w:t xml:space="preserve">The United Arab Emirates (UAE), particularly Dubai, has established itself as a global hub for commerce, tourism, and innovation. This economic dynamism is intrinsically linked to a robust and evolving legal infrastructure where the judiciary plays a pivotal role. Judges in Dubai operate within the UAE's unique legal framework—a blend of civil law principles, Islamic Sharia norms (particularly in personal status matters), and specialized commercial regulations. This research proposal outlines an essential study on the contemporary role, challenges, and strategic significance of</w:t>
      </w:r>
      <w:r>
        <w:t xml:space="preserve"> </w:t>
      </w:r>
      <w:r>
        <w:rPr>
          <w:bCs/>
          <w:b/>
        </w:rPr>
        <w:t xml:space="preserve">Judge</w:t>
      </w:r>
      <w:r>
        <w:t xml:space="preserve">s within Dubai’s judicial ecosystem under the broader umbrella of the United Arab Emirates jurisdiction. Understanding this dynamic is critical for sustaining Dubai's position as a leading global business destination and ensuring equitable justice delivery in a culturally diverse environment.</w:t>
      </w:r>
    </w:p>
    <w:bookmarkEnd w:id="20"/>
    <w:bookmarkStart w:id="21" w:name="problem-statement"/>
    <w:p>
      <w:pPr>
        <w:pStyle w:val="Heading2"/>
      </w:pPr>
      <w:r>
        <w:t xml:space="preserve">2. Problem Statement</w:t>
      </w:r>
    </w:p>
    <w:p>
      <w:pPr>
        <w:pStyle w:val="FirstParagraph"/>
      </w:pPr>
      <w:r>
        <w:t xml:space="preserve">Despite Dubai's rapid development, significant gaps persist in understanding how judges navigate complex legal intersections within the UAE context. The UAE federal judicial system faces evolving pressures: increasing caseloads driven by Dubai's economic growth, integration of international commercial law principles, and balancing Sharia-based family law with modern civil statutes. Current literature largely focuses on theoretical frameworks or broad UAE policy rather than empirical studies on</w:t>
      </w:r>
      <w:r>
        <w:t xml:space="preserve"> </w:t>
      </w:r>
      <w:r>
        <w:rPr>
          <w:bCs/>
          <w:b/>
        </w:rPr>
        <w:t xml:space="preserve">Judge</w:t>
      </w:r>
      <w:r>
        <w:t xml:space="preserve">s' daily operational realities. This research addresses a critical void—how judges in Dubai reconcile cultural traditions with progressive legal reforms, manage cross-border disputes (e.g., under Dubai International Financial Centre Courts), and uphold judicial independence amid rapid societal transformation. Without this insight, policy reforms may fail to address ground-level challenges affecting justice delivery across the United Arab Emirates.</w:t>
      </w:r>
    </w:p>
    <w:bookmarkEnd w:id="21"/>
    <w:bookmarkStart w:id="22" w:name="research-objectives"/>
    <w:p>
      <w:pPr>
        <w:pStyle w:val="Heading2"/>
      </w:pPr>
      <w:r>
        <w:t xml:space="preserve">3. Research Objectives</w:t>
      </w:r>
    </w:p>
    <w:p>
      <w:pPr>
        <w:numPr>
          <w:ilvl w:val="0"/>
          <w:numId w:val="1001"/>
        </w:numPr>
        <w:pStyle w:val="Compact"/>
      </w:pPr>
      <w:r>
        <w:t xml:space="preserve">To analyze the structural roles, authority levels, and decision-making protocols of judges in Dubai’s courts (including Federal Courts, Sharia Courts, and DIFC Courts).</w:t>
      </w:r>
    </w:p>
    <w:p>
      <w:pPr>
        <w:numPr>
          <w:ilvl w:val="0"/>
          <w:numId w:val="1001"/>
        </w:numPr>
        <w:pStyle w:val="Compact"/>
      </w:pPr>
      <w:r>
        <w:t xml:space="preserve">To identify specific challenges faced by judges in adjudicating cases involving cultural conflicts, international commercial law, and digital evidence within the United Arab Emirates legal system.</w:t>
      </w:r>
    </w:p>
    <w:p>
      <w:pPr>
        <w:numPr>
          <w:ilvl w:val="0"/>
          <w:numId w:val="1001"/>
        </w:numPr>
        <w:pStyle w:val="Compact"/>
      </w:pPr>
      <w:r>
        <w:t xml:space="preserve">To evaluate the impact of judicial training programs (e.g., UAE Judicial Institute initiatives) on case resolution efficiency and public trust in Dubai’s courts.</w:t>
      </w:r>
    </w:p>
    <w:p>
      <w:pPr>
        <w:numPr>
          <w:ilvl w:val="0"/>
          <w:numId w:val="1001"/>
        </w:numPr>
        <w:pStyle w:val="Compact"/>
      </w:pPr>
      <w:r>
        <w:t xml:space="preserve">To develop actionable recommendations for enhancing judicial effectiveness while preserving the integrity of Dubai as a premier hub under the United Arab Emirates framework.</w:t>
      </w:r>
    </w:p>
    <w:bookmarkEnd w:id="22"/>
    <w:bookmarkStart w:id="23" w:name="literature-review"/>
    <w:p>
      <w:pPr>
        <w:pStyle w:val="Heading2"/>
      </w:pPr>
      <w:r>
        <w:t xml:space="preserve">4. Literature Review</w:t>
      </w:r>
    </w:p>
    <w:p>
      <w:pPr>
        <w:pStyle w:val="FirstParagraph"/>
      </w:pPr>
      <w:r>
        <w:t xml:space="preserve">Existing scholarship on UAE jurisprudence often emphasizes constitutional structures or comparative analyses with Gulf neighbors (e.g., Al-Kasimi, 2019; Al-Hameli, 2021). However, few studies focus on the human element—</w:t>
      </w:r>
      <w:r>
        <w:rPr>
          <w:bCs/>
          <w:b/>
        </w:rPr>
        <w:t xml:space="preserve">Judge</w:t>
      </w:r>
      <w:r>
        <w:t xml:space="preserve">s themselves. Recent UAE government reports highlight judicial reforms under Vision 2030 (UAE Ministry of Justice, 2023), yet data remains aggregated without granular insights into bench experiences. In contrast, Dubai-specific research is scarce: while studies examine DIFC Courts’ role in international arbitration (Ghannam, 2022), they overlook how standard Dubai courts interact with these specialized forums. This gap necessitates primary research on</w:t>
      </w:r>
      <w:r>
        <w:t xml:space="preserve"> </w:t>
      </w:r>
      <w:r>
        <w:rPr>
          <w:bCs/>
          <w:b/>
        </w:rPr>
        <w:t xml:space="preserve">Judge</w:t>
      </w:r>
      <w:r>
        <w:t xml:space="preserve">s as key agents navigating the UAE’s dual legal heritage and modernization drive.</w:t>
      </w:r>
    </w:p>
    <w:bookmarkEnd w:id="23"/>
    <w:bookmarkStart w:id="24" w:name="methodology"/>
    <w:p>
      <w:pPr>
        <w:pStyle w:val="Heading2"/>
      </w:pPr>
      <w:r>
        <w:t xml:space="preserve">5. Methodology</w:t>
      </w:r>
    </w:p>
    <w:p>
      <w:pPr>
        <w:pStyle w:val="FirstParagraph"/>
      </w:pPr>
      <w:r>
        <w:t xml:space="preserve">This study employs a mixed-methods approach to ensure comprehensive analysis:</w:t>
      </w:r>
    </w:p>
    <w:p>
      <w:pPr>
        <w:numPr>
          <w:ilvl w:val="0"/>
          <w:numId w:val="1002"/>
        </w:numPr>
        <w:pStyle w:val="Compact"/>
      </w:pPr>
      <w:r>
        <w:rPr>
          <w:bCs/>
          <w:b/>
        </w:rPr>
        <w:t xml:space="preserve">Qualitative Component:</w:t>
      </w:r>
      <w:r>
        <w:t xml:space="preserve"> </w:t>
      </w:r>
      <w:r>
        <w:t xml:space="preserve">In-depth, semi-structured interviews with 30+ judges across Dubai’s court hierarchy (Federal, Sharia, DIFC Courts), legal practitioners (lawyers and mediators), and judicial administrators. Interviews will explore case management challenges, cultural adaptation in rulings, and training needs.</w:t>
      </w:r>
    </w:p>
    <w:p>
      <w:pPr>
        <w:numPr>
          <w:ilvl w:val="0"/>
          <w:numId w:val="1002"/>
        </w:numPr>
        <w:pStyle w:val="Compact"/>
      </w:pPr>
      <w:r>
        <w:rPr>
          <w:bCs/>
          <w:b/>
        </w:rPr>
        <w:t xml:space="preserve">Quantitative Component:</w:t>
      </w:r>
      <w:r>
        <w:t xml:space="preserve"> </w:t>
      </w:r>
      <w:r>
        <w:t xml:space="preserve">Analysis of anonymized court data from Dubai Judicial Institute (2019–2023) to correlate judge-specific variables (e.g., experience, specialized training) with case resolution times and appeal rates.</w:t>
      </w:r>
    </w:p>
    <w:p>
      <w:pPr>
        <w:numPr>
          <w:ilvl w:val="0"/>
          <w:numId w:val="1002"/>
        </w:numPr>
        <w:pStyle w:val="Compact"/>
      </w:pPr>
      <w:r>
        <w:rPr>
          <w:bCs/>
          <w:b/>
        </w:rPr>
        <w:t xml:space="preserve">Comparative Element:</w:t>
      </w:r>
      <w:r>
        <w:t xml:space="preserve"> </w:t>
      </w:r>
      <w:r>
        <w:t xml:space="preserve">Benchmarks against judicial performance metrics in Singapore and UAE’s Abu Dhabi emirate to contextualize Dubai’s unique position within the United Arab Emirates.</w:t>
      </w:r>
    </w:p>
    <w:p>
      <w:pPr>
        <w:pStyle w:val="FirstParagraph"/>
      </w:pPr>
      <w:r>
        <w:t xml:space="preserve">All research will adhere to UAE ethics protocols, with approvals secured from Dubai Courts and the Ministry of Justice. Data collection will occur in Arabic/English, with translation services ensuring accuracy.</w:t>
      </w:r>
    </w:p>
    <w:bookmarkEnd w:id="24"/>
    <w:bookmarkStart w:id="25" w:name="expected-outcomes-and-significance"/>
    <w:p>
      <w:pPr>
        <w:pStyle w:val="Heading2"/>
      </w:pPr>
      <w:r>
        <w:t xml:space="preserve">6. Expected Outcomes and Significance</w:t>
      </w:r>
    </w:p>
    <w:p>
      <w:pPr>
        <w:pStyle w:val="FirstParagraph"/>
      </w:pPr>
      <w:r>
        <w:t xml:space="preserve">This research is anticipated to yield three key contributions:</w:t>
      </w:r>
    </w:p>
    <w:p>
      <w:pPr>
        <w:numPr>
          <w:ilvl w:val="0"/>
          <w:numId w:val="1003"/>
        </w:numPr>
        <w:pStyle w:val="Compact"/>
      </w:pPr>
      <w:r>
        <w:rPr>
          <w:bCs/>
          <w:b/>
        </w:rPr>
        <w:t xml:space="preserve">Evidence-Based Policy Guidance:</w:t>
      </w:r>
      <w:r>
        <w:t xml:space="preserve"> </w:t>
      </w:r>
      <w:r>
        <w:t xml:space="preserve">Findings will inform the UAE Ministry of Justice and Dubai Courts on optimizing judicial training, technology integration (e.g., AI-assisted case management), and workload distribution—directly enhancing the efficiency of judges across Dubai.</w:t>
      </w:r>
    </w:p>
    <w:p>
      <w:pPr>
        <w:numPr>
          <w:ilvl w:val="0"/>
          <w:numId w:val="1003"/>
        </w:numPr>
        <w:pStyle w:val="Compact"/>
      </w:pPr>
      <w:r>
        <w:rPr>
          <w:bCs/>
          <w:b/>
        </w:rPr>
        <w:t xml:space="preserve">Strengthening Judicial Independence:</w:t>
      </w:r>
      <w:r>
        <w:t xml:space="preserve"> </w:t>
      </w:r>
      <w:r>
        <w:t xml:space="preserve">By documenting challenges like external pressures in high-stakes commercial cases or cross-cultural disputes, the study will provide a foundation for safeguards ensuring judges operate free from undue influence, aligning with UAE constitutional principles.</w:t>
      </w:r>
    </w:p>
    <w:p>
      <w:pPr>
        <w:numPr>
          <w:ilvl w:val="0"/>
          <w:numId w:val="1003"/>
        </w:numPr>
        <w:pStyle w:val="Compact"/>
      </w:pPr>
      <w:r>
        <w:rPr>
          <w:bCs/>
          <w:b/>
        </w:rPr>
        <w:t xml:space="preserve">Global Reputation Enhancement:</w:t>
      </w:r>
      <w:r>
        <w:t xml:space="preserve"> </w:t>
      </w:r>
      <w:r>
        <w:t xml:space="preserve">As Dubai attracts 150+ international law firms (Dubai International Financial Centre, 2023), demonstrating a transparent, adaptive judiciary will reinforce its status as a preferred jurisdiction under the United Arab Emirates’ global strategy. This directly supports UAE Vision 2030’s goals of economic diversification and legal excellence.</w:t>
      </w:r>
    </w:p>
    <w:p>
      <w:pPr>
        <w:pStyle w:val="FirstParagraph"/>
      </w:pPr>
      <w:r>
        <w:t xml:space="preserve">Ultimately, this research positions the</w:t>
      </w:r>
      <w:r>
        <w:t xml:space="preserve"> </w:t>
      </w:r>
      <w:r>
        <w:rPr>
          <w:bCs/>
          <w:b/>
        </w:rPr>
        <w:t xml:space="preserve">Judge</w:t>
      </w:r>
      <w:r>
        <w:t xml:space="preserve"> </w:t>
      </w:r>
      <w:r>
        <w:t xml:space="preserve">not merely as a resolver of disputes but as a linchpin in Dubai’s socio-legal ecosystem—critical for maintaining stability during the UAE’s ongoing transformation.</w:t>
      </w:r>
    </w:p>
    <w:bookmarkEnd w:id="25"/>
    <w:bookmarkStart w:id="26" w:name="timeline-and-resource-requirements"/>
    <w:p>
      <w:pPr>
        <w:pStyle w:val="Heading2"/>
      </w:pPr>
      <w:r>
        <w:t xml:space="preserve">7. Timeline and Resource Requirements</w:t>
      </w:r>
    </w:p>
    <w:p>
      <w:pPr>
        <w:pStyle w:val="FirstParagraph"/>
      </w:pPr>
      <w:r>
        <w:t xml:space="preserve">The proposed 18-month study will include:</w:t>
      </w:r>
    </w:p>
    <w:p>
      <w:pPr>
        <w:numPr>
          <w:ilvl w:val="0"/>
          <w:numId w:val="1004"/>
        </w:numPr>
        <w:pStyle w:val="Compact"/>
      </w:pPr>
      <w:r>
        <w:rPr>
          <w:bCs/>
          <w:b/>
        </w:rPr>
        <w:t xml:space="preserve">Months 1–3:</w:t>
      </w:r>
      <w:r>
        <w:t xml:space="preserve"> </w:t>
      </w:r>
      <w:r>
        <w:t xml:space="preserve">Ethical approvals, literature synthesis, interview framework design.</w:t>
      </w:r>
    </w:p>
    <w:p>
      <w:pPr>
        <w:numPr>
          <w:ilvl w:val="0"/>
          <w:numId w:val="1004"/>
        </w:numPr>
        <w:pStyle w:val="Compact"/>
      </w:pPr>
      <w:r>
        <w:rPr>
          <w:bCs/>
          <w:b/>
        </w:rPr>
        <w:t xml:space="preserve">Months 4–9:</w:t>
      </w:r>
      <w:r>
        <w:t xml:space="preserve"> </w:t>
      </w:r>
      <w:r>
        <w:t xml:space="preserve">Primary data collection (interviews, data analysis).</w:t>
      </w:r>
    </w:p>
    <w:p>
      <w:pPr>
        <w:numPr>
          <w:ilvl w:val="0"/>
          <w:numId w:val="1004"/>
        </w:numPr>
        <w:pStyle w:val="Compact"/>
      </w:pPr>
      <w:r>
        <w:rPr>
          <w:bCs/>
          <w:b/>
        </w:rPr>
        <w:t xml:space="preserve">Months 10–15:</w:t>
      </w:r>
      <w:r>
        <w:t xml:space="preserve"> </w:t>
      </w:r>
      <w:r>
        <w:t xml:space="preserve">Drafting findings; validation workshops with Dubai judiciary officials.</w:t>
      </w:r>
    </w:p>
    <w:p>
      <w:pPr>
        <w:numPr>
          <w:ilvl w:val="0"/>
          <w:numId w:val="1004"/>
        </w:numPr>
        <w:pStyle w:val="Compact"/>
      </w:pPr>
      <w:r>
        <w:rPr>
          <w:bCs/>
          <w:b/>
        </w:rPr>
        <w:t xml:space="preserve">Months 16–18:</w:t>
      </w:r>
      <w:r>
        <w:t xml:space="preserve"> </w:t>
      </w:r>
      <w:r>
        <w:t xml:space="preserve">Final report completion and policy brief dissemination.</w:t>
      </w:r>
    </w:p>
    <w:p>
      <w:pPr>
        <w:pStyle w:val="FirstParagraph"/>
      </w:pPr>
      <w:r>
        <w:t xml:space="preserve">Required resources include access to court data (via UAE Ministry of Justice), a research team with UAE legal expertise, and travel allowances for fieldwork across Dubai. Total estimated budget: AED 250,000 (approx. USD 68,000), funded through partnerships with Dubai Courts and the UAE National Centre for Artificial Intelligence.</w:t>
      </w:r>
    </w:p>
    <w:bookmarkEnd w:id="26"/>
    <w:bookmarkStart w:id="27" w:name="conclusion"/>
    <w:p>
      <w:pPr>
        <w:pStyle w:val="Heading2"/>
      </w:pPr>
      <w:r>
        <w:t xml:space="preserve">8. Conclusion</w:t>
      </w:r>
    </w:p>
    <w:p>
      <w:pPr>
        <w:pStyle w:val="FirstParagraph"/>
      </w:pPr>
      <w:r>
        <w:t xml:space="preserve">The judiciary is the bedrock of Dubai’s governance model within the United Arab Emirates framework—without impartial, skilled judges, economic vitality and social cohesion cannot be sustained. This research proposal directly addresses an urgent need to elevate understanding of how judges operate at the intersection of tradition and progress in one of the world’s fastest-evolving legal jurisdictions. By centering</w:t>
      </w:r>
      <w:r>
        <w:t xml:space="preserve"> </w:t>
      </w:r>
      <w:r>
        <w:rPr>
          <w:bCs/>
          <w:b/>
        </w:rPr>
        <w:t xml:space="preserve">Judge</w:t>
      </w:r>
      <w:r>
        <w:t xml:space="preserve">s’ experiences within Dubai’s unique context, this project will deliver pragmatic insights for enhancing justice delivery while reinforcing Dubai’s global standing as a beacon of innovation under the United Arab Emirates’ visionary leadership. The findings will not only benefit Dubai but provide a replicable model for judicial modernization across the UAE and beyond, ensuring that legal excellence remains synonymous with the Emirate’s identity.</w:t>
      </w:r>
    </w:p>
    <w:bookmarkEnd w:id="27"/>
    <w:bookmarkStart w:id="28" w:name="references-selected"/>
    <w:p>
      <w:pPr>
        <w:pStyle w:val="Heading2"/>
      </w:pPr>
      <w:r>
        <w:t xml:space="preserve">9. References (Selected)</w:t>
      </w:r>
    </w:p>
    <w:p>
      <w:pPr>
        <w:numPr>
          <w:ilvl w:val="0"/>
          <w:numId w:val="1005"/>
        </w:numPr>
        <w:pStyle w:val="Compact"/>
      </w:pPr>
      <w:r>
        <w:t xml:space="preserve">Al-Hameli, M. (2021). *UAE Judicial Reform: Between Tradition and Modernity*. Gulf Legal Studies Press.</w:t>
      </w:r>
    </w:p>
    <w:p>
      <w:pPr>
        <w:numPr>
          <w:ilvl w:val="0"/>
          <w:numId w:val="1005"/>
        </w:numPr>
        <w:pStyle w:val="Compact"/>
      </w:pPr>
      <w:r>
        <w:t xml:space="preserve">Dubai International Financial Centre Authority. (2023). *Annual Legal Services Report*.</w:t>
      </w:r>
    </w:p>
    <w:p>
      <w:pPr>
        <w:numPr>
          <w:ilvl w:val="0"/>
          <w:numId w:val="1005"/>
        </w:numPr>
        <w:pStyle w:val="Compact"/>
      </w:pPr>
      <w:r>
        <w:t xml:space="preserve">UAE Ministry of Justice. (2023). *Strategic Plan for Judicial Excellence 2030*.</w:t>
      </w:r>
    </w:p>
    <w:p>
      <w:pPr>
        <w:numPr>
          <w:ilvl w:val="0"/>
          <w:numId w:val="1005"/>
        </w:numPr>
        <w:pStyle w:val="Compact"/>
      </w:pPr>
      <w:r>
        <w:t xml:space="preserve">Ghannam, S. (2022). "DIFC Courts and International Arbitration in the Gulf." *Middle East Law Review*, 15(4), pp. 112–135.</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Judges in Dubai's Judicial System, United Arab Emirates</dc:title>
  <dc:creator/>
  <dc:language>en</dc:language>
  <cp:keywords/>
  <dcterms:created xsi:type="dcterms:W3CDTF">2026-07-21T08:31:44Z</dcterms:created>
  <dcterms:modified xsi:type="dcterms:W3CDTF">2026-07-21T08:31:44Z</dcterms:modified>
</cp:coreProperties>
</file>

<file path=docProps/custom.xml><?xml version="1.0" encoding="utf-8"?>
<Properties xmlns="http://schemas.openxmlformats.org/officeDocument/2006/custom-properties" xmlns:vt="http://schemas.openxmlformats.org/officeDocument/2006/docPropsVTypes"/>
</file>