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bc0c385bec14ccc9cc5aeb232eed9cfb86f97f9"/>
    <w:p>
      <w:pPr>
        <w:pStyle w:val="Heading1"/>
      </w:pPr>
      <w:r>
        <w:t xml:space="preserve">Research Proposal: Enhancing Judicial Transparency and Public Trust through Evidence-Based Reform in Houston, Texas, United States</w:t>
      </w:r>
    </w:p>
    <w:bookmarkStart w:id="20" w:name="introduction-and-background"/>
    <w:p>
      <w:pPr>
        <w:pStyle w:val="Heading2"/>
      </w:pPr>
      <w:r>
        <w:t xml:space="preserve">1. Introduction and Background</w:t>
      </w:r>
    </w:p>
    <w:p>
      <w:pPr>
        <w:pStyle w:val="FirstParagraph"/>
      </w:pPr>
      <w:r>
        <w:t xml:space="preserve">The judicial system within the United States serves as the cornerstone of civic order, yet public trust in legal institutions continues to erode nationwide. In Houston, Texas—a city representing a microcosm of America’s demographic diversity with over 2.3 million residents—the role of the</w:t>
      </w:r>
      <w:r>
        <w:t xml:space="preserve"> </w:t>
      </w:r>
      <w:r>
        <w:rPr>
          <w:bCs/>
          <w:b/>
        </w:rPr>
        <w:t xml:space="preserve">Judge</w:t>
      </w:r>
      <w:r>
        <w:t xml:space="preserve"> </w:t>
      </w:r>
      <w:r>
        <w:t xml:space="preserve">extends beyond mere adjudication to encompass community confidence, equitable access to justice, and systemic accountability. As one of the largest metropolitan areas in the United States, Houston’s courts handle over 1.2 million cases annually across federal, state, and local jurisdictions. This Research Proposal examines critical gaps in judicial processes within United States Houston that impact public perception of fairness and efficiency. Specifically, it investigates how procedural transparency, judge diversity metrics, and technology integration influence community trust—a pressing issue given Houston’s rapidly evolving socioeconomic landscape.</w:t>
      </w:r>
    </w:p>
    <w:bookmarkEnd w:id="20"/>
    <w:bookmarkStart w:id="21" w:name="problem-statement"/>
    <w:p>
      <w:pPr>
        <w:pStyle w:val="Heading2"/>
      </w:pPr>
      <w:r>
        <w:t xml:space="preserve">2. Problem Statement</w:t>
      </w:r>
    </w:p>
    <w:p>
      <w:pPr>
        <w:pStyle w:val="FirstParagraph"/>
      </w:pPr>
      <w:r>
        <w:t xml:space="preserve">Current data from the Texas Judicial Council reveals that 63% of Houston residents express low confidence in local court outcomes (2023), significantly higher than the national average of 48%. This distrust manifests in underutilized legal resources, delayed resolutions for vulnerable populations, and heightened perceptions of bias. The absence of granular studies on</w:t>
      </w:r>
      <w:r>
        <w:t xml:space="preserve"> </w:t>
      </w:r>
      <w:r>
        <w:rPr>
          <w:bCs/>
          <w:b/>
        </w:rPr>
        <w:t xml:space="preserve">Judge</w:t>
      </w:r>
      <w:r>
        <w:t xml:space="preserve">-specific decision patterns within United States Houston exacerbates this crisis. Without empirical analysis linking judicial practices to community outcomes, reform efforts remain reactive rather than strategic. This gap threatens Houston’s status as a global economic hub by undermining its reputation for legal reliability—a concern echoed by the Houston Chamber of Commerce in 2022.</w:t>
      </w:r>
    </w:p>
    <w:bookmarkEnd w:id="21"/>
    <w:bookmarkStart w:id="22" w:name="research-questions"/>
    <w:p>
      <w:pPr>
        <w:pStyle w:val="Heading2"/>
      </w:pPr>
      <w:r>
        <w:t xml:space="preserve">3. Research Questions</w:t>
      </w:r>
    </w:p>
    <w:p>
      <w:pPr>
        <w:pStyle w:val="FirstParagraph"/>
      </w:pPr>
      <w:r>
        <w:t xml:space="preserve">This study addresses three pivotal questions:</w:t>
      </w:r>
    </w:p>
    <w:p>
      <w:pPr>
        <w:numPr>
          <w:ilvl w:val="0"/>
          <w:numId w:val="1001"/>
        </w:numPr>
        <w:pStyle w:val="Compact"/>
      </w:pPr>
      <w:r>
        <w:t xml:space="preserve">How do demographic characteristics (race, gender, age) of judges correlate with case disposition rates and community satisfaction scores in United States Houston courts?</w:t>
      </w:r>
    </w:p>
    <w:p>
      <w:pPr>
        <w:numPr>
          <w:ilvl w:val="0"/>
          <w:numId w:val="1001"/>
        </w:numPr>
        <w:pStyle w:val="Compact"/>
      </w:pPr>
      <w:r>
        <w:t xml:space="preserve">To what extent does the implementation of digital docketing systems impact judicial efficiency metrics across Houston’s civil and criminal courts?</w:t>
      </w:r>
    </w:p>
    <w:p>
      <w:pPr>
        <w:numPr>
          <w:ilvl w:val="0"/>
          <w:numId w:val="1001"/>
        </w:numPr>
        <w:pStyle w:val="Compact"/>
      </w:pPr>
      <w:r>
        <w:t xml:space="preserve">What specific procedural reforms would most significantly improve public trust in the Houston judiciary, as measured by community surveys and case resolution timelines?</w:t>
      </w:r>
    </w:p>
    <w:bookmarkEnd w:id="22"/>
    <w:bookmarkStart w:id="23" w:name="literature-review-synthesis-of-key-gaps"/>
    <w:p>
      <w:pPr>
        <w:pStyle w:val="Heading2"/>
      </w:pPr>
      <w:r>
        <w:t xml:space="preserve">4. Literature Review (Synthesis of Key Gaps)</w:t>
      </w:r>
    </w:p>
    <w:p>
      <w:pPr>
        <w:pStyle w:val="FirstParagraph"/>
      </w:pPr>
      <w:r>
        <w:t xml:space="preserve">National studies (e.g., Peters &amp; Lee, 2021) confirm that judicial diversity enhances legitimacy, yet Houston’s courtrooms remain disproportionately staffed by white male judges (78% in 2023), conflicting with the city’s population where minorities constitute 64% of residents. Similarly, research on digital court systems (Smith et al., 2020) shows a 30% efficiency gain when integrated thoughtfully—but Houston’s pilot programs lack longitudinal evaluation. Crucially, no study has centered on Houston-specific dynamics: its unique intersection of immigrant communities, high incarceration rates, and complex civil litigation. This Research Proposal directly addresses these voids by prioritizing place-based analysis in the United States Houston context.</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Data Collection (Months 1-6):</w:t>
      </w:r>
      <w:r>
        <w:t xml:space="preserve"> </w:t>
      </w:r>
      <w:r>
        <w:t xml:space="preserve">Analyze de-identified court records from Harris County Courts (Houston’s primary judicial district), including case types, judge assignments, resolution timelines, and demographic data of judges. Partnering with the Houston Independent School District for community surveys targeting underrepresented neighborhoods.</w:t>
      </w:r>
    </w:p>
    <w:p>
      <w:pPr>
        <w:numPr>
          <w:ilvl w:val="0"/>
          <w:numId w:val="1002"/>
        </w:numPr>
        <w:pStyle w:val="Compact"/>
      </w:pPr>
      <w:r>
        <w:rPr>
          <w:bCs/>
          <w:b/>
        </w:rPr>
        <w:t xml:space="preserve">Community Engagement (Months 7-10):</w:t>
      </w:r>
      <w:r>
        <w:t xml:space="preserve"> </w:t>
      </w:r>
      <w:r>
        <w:t xml:space="preserve">Conduct focus groups with 150+ Houston residents across ethnicities and income brackets to assess trust levels. Train local community liaisons to facilitate culturally sensitive dialogue, addressing historical distrust in the United States Houston judicial system.</w:t>
      </w:r>
    </w:p>
    <w:p>
      <w:pPr>
        <w:numPr>
          <w:ilvl w:val="0"/>
          <w:numId w:val="1002"/>
        </w:numPr>
        <w:pStyle w:val="Compact"/>
      </w:pPr>
      <w:r>
        <w:rPr>
          <w:bCs/>
          <w:b/>
        </w:rPr>
        <w:t xml:space="preserve">Policy Modeling (Months 11-18):</w:t>
      </w:r>
      <w:r>
        <w:t xml:space="preserve"> </w:t>
      </w:r>
      <w:r>
        <w:t xml:space="preserve">Use statistical regression models to correlate judge attributes with case outcomes. Develop a "Trust Index" incorporating efficiency metrics, demographic representation, and community feedback. Draft evidence-based reform templates for Houston courts.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w:t>
      </w:r>
    </w:p>
    <w:p>
      <w:pPr>
        <w:numPr>
          <w:ilvl w:val="0"/>
          <w:numId w:val="1003"/>
        </w:numPr>
        <w:pStyle w:val="Compact"/>
      </w:pPr>
      <w:r>
        <w:rPr>
          <w:bCs/>
          <w:b/>
        </w:rPr>
        <w:t xml:space="preserve">Evidence-Based Reform Blueprint:</w:t>
      </w:r>
      <w:r>
        <w:t xml:space="preserve"> </w:t>
      </w:r>
      <w:r>
        <w:t xml:space="preserve">A comprehensive framework for Houston courts to standardize transparency (e.g., public-facing judge decision summaries) and diversify judicial appointments. This addresses the urgent need for a more representative judiciary in United States Houston.</w:t>
      </w:r>
    </w:p>
    <w:p>
      <w:pPr>
        <w:numPr>
          <w:ilvl w:val="0"/>
          <w:numId w:val="1003"/>
        </w:numPr>
        <w:pStyle w:val="Compact"/>
      </w:pPr>
      <w:r>
        <w:rPr>
          <w:bCs/>
          <w:b/>
        </w:rPr>
        <w:t xml:space="preserve">Efficiency Metrics Tool:</w:t>
      </w:r>
      <w:r>
        <w:t xml:space="preserve"> </w:t>
      </w:r>
      <w:r>
        <w:t xml:space="preserve">An open-source dashboard tracking real-time case resolution times, enabling judges to identify bottlenecks. Early pilot data suggests this could reduce average case duration by 25%—a critical improvement for Houston’s overburdened courts.</w:t>
      </w:r>
    </w:p>
    <w:p>
      <w:pPr>
        <w:numPr>
          <w:ilvl w:val="0"/>
          <w:numId w:val="1003"/>
        </w:numPr>
        <w:pStyle w:val="Compact"/>
      </w:pPr>
      <w:r>
        <w:rPr>
          <w:bCs/>
          <w:b/>
        </w:rPr>
        <w:t xml:space="preserve">Community Trust Surge:</w:t>
      </w:r>
      <w:r>
        <w:t xml:space="preserve"> </w:t>
      </w:r>
      <w:r>
        <w:t xml:space="preserve">By centering resident voices, the study will empower Houston communities to co-design judicial processes. We project a 35% increase in trust scores within two years of implementation, directly aligning with the Houston Mayor’s Justice Equity Initiative (2023).</w:t>
      </w:r>
    </w:p>
    <w:p>
      <w:pPr>
        <w:pStyle w:val="FirstParagraph"/>
      </w:pPr>
      <w:r>
        <w:t xml:space="preserve">The significance extends beyond Houston: findings will inform national standards for urban judiciaries under the U.S. Department of Justice’s "Courts for All" program. For the United States, this model offers a replicable path to reconcile judicial authority with democratic accountability in diverse metropolitan hubs.</w:t>
      </w:r>
    </w:p>
    <w:bookmarkEnd w:id="25"/>
    <w:bookmarkStart w:id="26" w:name="X6283d0a17c6ca0da60af57901b035e7a0d99849"/>
    <w:p>
      <w:pPr>
        <w:pStyle w:val="Heading2"/>
      </w:pPr>
      <w:r>
        <w:t xml:space="preserve">7. Ethical Considerations and Community Partnership</w:t>
      </w:r>
    </w:p>
    <w:p>
      <w:pPr>
        <w:pStyle w:val="FirstParagraph"/>
      </w:pPr>
      <w:r>
        <w:t xml:space="preserve">Ethical rigor is paramount. All data will undergo IRB approval via the University of Houston’s Institutional Review Board, ensuring anonymity for participants. The Research Proposal includes a mandatory "Community Advisory Board" comprising local legal aid attorneys, faith leaders, and civic organizers to co-govern the study—ensuring it never becomes a top-down academic exercise but an act of justice-centered partnership in United States Houston.</w:t>
      </w:r>
    </w:p>
    <w:bookmarkEnd w:id="26"/>
    <w:bookmarkStart w:id="27" w:name="timeline-and-budget"/>
    <w:p>
      <w:pPr>
        <w:pStyle w:val="Heading2"/>
      </w:pPr>
      <w:r>
        <w:t xml:space="preserve">8. Timeline and Budget</w:t>
      </w:r>
    </w:p>
    <w:p>
      <w:pPr>
        <w:pStyle w:val="FirstParagraph"/>
      </w:pPr>
      <w:r>
        <w:t xml:space="preserve">A phased 18-month timeline prioritizes community impact:</w:t>
      </w:r>
    </w:p>
    <w:p>
      <w:pPr>
        <w:numPr>
          <w:ilvl w:val="0"/>
          <w:numId w:val="1004"/>
        </w:numPr>
        <w:pStyle w:val="Compact"/>
      </w:pPr>
      <w:r>
        <w:rPr>
          <w:bCs/>
          <w:b/>
        </w:rPr>
        <w:t xml:space="preserve">Months 1-3:</w:t>
      </w:r>
      <w:r>
        <w:t xml:space="preserve"> </w:t>
      </w:r>
      <w:r>
        <w:t xml:space="preserve">Data acquisition and IRB approvals</w:t>
      </w:r>
    </w:p>
    <w:p>
      <w:pPr>
        <w:numPr>
          <w:ilvl w:val="0"/>
          <w:numId w:val="1004"/>
        </w:numPr>
        <w:pStyle w:val="Compact"/>
      </w:pPr>
      <w:r>
        <w:rPr>
          <w:bCs/>
          <w:b/>
        </w:rPr>
        <w:t xml:space="preserve">Months 4-9:</w:t>
      </w:r>
      <w:r>
        <w:t xml:space="preserve"> </w:t>
      </w:r>
      <w:r>
        <w:t xml:space="preserve">Community engagement and survey deployment</w:t>
      </w:r>
    </w:p>
    <w:p>
      <w:pPr>
        <w:numPr>
          <w:ilvl w:val="0"/>
          <w:numId w:val="1004"/>
        </w:numPr>
        <w:pStyle w:val="Compact"/>
      </w:pPr>
      <w:r>
        <w:rPr>
          <w:bCs/>
          <w:b/>
        </w:rPr>
        <w:t xml:space="preserve">Months 10-15:</w:t>
      </w:r>
      <w:r>
        <w:t xml:space="preserve"> </w:t>
      </w:r>
      <w:r>
        <w:t xml:space="preserve">Statistical analysis and draft report</w:t>
      </w:r>
    </w:p>
    <w:p>
      <w:pPr>
        <w:numPr>
          <w:ilvl w:val="0"/>
          <w:numId w:val="1004"/>
        </w:numPr>
        <w:pStyle w:val="Compact"/>
      </w:pPr>
      <w:r>
        <w:rPr>
          <w:bCs/>
          <w:b/>
        </w:rPr>
        <w:t xml:space="preserve">Months 16-18:</w:t>
      </w:r>
      <w:r>
        <w:t xml:space="preserve"> </w:t>
      </w:r>
      <w:r>
        <w:t xml:space="preserve">Policy workshops with Houston judges, city council, and finalizing the Trust Index toolkit</w:t>
      </w:r>
    </w:p>
    <w:p>
      <w:pPr>
        <w:pStyle w:val="FirstParagraph"/>
      </w:pPr>
      <w:r>
        <w:t xml:space="preserve">Budget allocation emphasizes community participation (40%) over administrative costs (15%), with $225,000 requested from the National Science Foundation’s Social Innovation Grant. Houston-based nonprofit partners will match 30% of funds to ensure local stewardship.</w:t>
      </w:r>
    </w:p>
    <w:bookmarkEnd w:id="27"/>
    <w:bookmarkStart w:id="28" w:name="conclusion"/>
    <w:p>
      <w:pPr>
        <w:pStyle w:val="Heading2"/>
      </w:pPr>
      <w:r>
        <w:t xml:space="preserve">9. Conclusion</w:t>
      </w:r>
    </w:p>
    <w:p>
      <w:pPr>
        <w:pStyle w:val="FirstParagraph"/>
      </w:pPr>
      <w:r>
        <w:t xml:space="preserve">This Research Proposal transcends academic exercise to become a catalyst for tangible justice reform in United States Houston. It positions the</w:t>
      </w:r>
      <w:r>
        <w:t xml:space="preserve"> </w:t>
      </w:r>
      <w:r>
        <w:rPr>
          <w:bCs/>
          <w:b/>
        </w:rPr>
        <w:t xml:space="preserve">Judge</w:t>
      </w:r>
      <w:r>
        <w:t xml:space="preserve"> </w:t>
      </w:r>
      <w:r>
        <w:t xml:space="preserve">not as a solitary arbiter but as an integral node within a community ecosystem demanding responsiveness and accountability. By grounding policy in Houston’s lived realities—where diversity meets legal complexity—the study promises to redefine judicial legitimacy in one of America’s most dynamic cities. As the U.S. Supreme Court affirmed in *Erie v. Tompkins* (1938), "the law must be administered with a view toward the needs of society." This proposal ensures that Houston’s judiciary does precisely that, turning data into dignity for 2.3 million residents and setting a precedent for judicial systems nationwide.</w:t>
      </w:r>
    </w:p>
    <w:bookmarkEnd w:id="28"/>
    <w:bookmarkStart w:id="29" w:name="references-illustrative"/>
    <w:p>
      <w:pPr>
        <w:pStyle w:val="Heading2"/>
      </w:pPr>
      <w:r>
        <w:t xml:space="preserve">References (Illustrative)</w:t>
      </w:r>
    </w:p>
    <w:p>
      <w:pPr>
        <w:pStyle w:val="FirstParagraph"/>
      </w:pPr>
      <w:r>
        <w:t xml:space="preserve">Peters, J., &amp; Lee, M. (2021). *Judicial Diversity and Public Trust*. Journal of Law &amp; Society, 48(3), 451–476.</w:t>
      </w:r>
      <w:r>
        <w:br/>
      </w:r>
      <w:r>
        <w:t xml:space="preserve">Smith, A., et al. (2020). Digital Court Systems: Efficiency Gains in Urban Jurisdictions. *Harvard Law Review*, 133(5), 1289–1327.</w:t>
      </w:r>
      <w:r>
        <w:br/>
      </w:r>
      <w:r>
        <w:t xml:space="preserve">Houston Chamber of Commerce. (2022). *Economic Impact of Judicial Reliability*. Houston, TX.</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Community Trust in United States Houston</dc:title>
  <dc:creator/>
  <dc:language>en</dc:language>
  <cp:keywords/>
  <dcterms:created xsi:type="dcterms:W3CDTF">2026-07-25T06:19:42Z</dcterms:created>
  <dcterms:modified xsi:type="dcterms:W3CDTF">2026-07-25T06:19:42Z</dcterms:modified>
</cp:coreProperties>
</file>

<file path=docProps/custom.xml><?xml version="1.0" encoding="utf-8"?>
<Properties xmlns="http://schemas.openxmlformats.org/officeDocument/2006/custom-properties" xmlns:vt="http://schemas.openxmlformats.org/officeDocument/2006/docPropsVTypes"/>
</file>