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Modernization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27ce4607de2d41048b00609a43e5d18dfcabb06"/>
    <w:p>
      <w:pPr>
        <w:pStyle w:val="Heading1"/>
      </w:pPr>
      <w:r>
        <w:t xml:space="preserve">Research Proposal: Enhancing Judicial Efficiency Through the Role of the Judge in Vietnam Ho Chi Minh City's Legal System</w:t>
      </w:r>
    </w:p>
    <w:bookmarkStart w:id="20" w:name="introduction-and-background"/>
    <w:p>
      <w:pPr>
        <w:pStyle w:val="Heading2"/>
      </w:pPr>
      <w:r>
        <w:t xml:space="preserve">1. Introduction and Background</w:t>
      </w:r>
    </w:p>
    <w:p>
      <w:pPr>
        <w:pStyle w:val="FirstParagraph"/>
      </w:pPr>
      <w:r>
        <w:t xml:space="preserve">The judiciary stands as a cornerstone of governance, ensuring justice, rule of law, and public trust. In Vietnam Ho Chi Minh City (HCMC), the nation's economic epicenter handling over 40% of the country's commercial litigation, the role of the</w:t>
      </w:r>
      <w:r>
        <w:t xml:space="preserve"> </w:t>
      </w:r>
      <w:r>
        <w:rPr>
          <w:iCs/>
          <w:i/>
        </w:rPr>
        <w:t xml:space="preserve">Judge</w:t>
      </w:r>
      <w:r>
        <w:t xml:space="preserve"> </w:t>
      </w:r>
      <w:r>
        <w:t xml:space="preserve">is under unprecedented pressure. HCMC courts face severe case backlogs—exceeding 250,000 pending cases in 2023—and delays averaging 18 months per civil dispute (Vietnam Ministry of Justice, 2023). This research proposal addresses a critical gap: the operational capacity and professional development of</w:t>
      </w:r>
      <w:r>
        <w:t xml:space="preserve"> </w:t>
      </w:r>
      <w:r>
        <w:rPr>
          <w:iCs/>
          <w:i/>
        </w:rPr>
        <w:t xml:space="preserve">Judge</w:t>
      </w:r>
      <w:r>
        <w:t xml:space="preserve">s within HCMC's courts. As Vietnam advances its judicial reform agenda under Decree No. 59/2023/ND-CP, understanding how to optimize the</w:t>
      </w:r>
      <w:r>
        <w:t xml:space="preserve"> </w:t>
      </w:r>
      <w:r>
        <w:rPr>
          <w:iCs/>
          <w:i/>
        </w:rPr>
        <w:t xml:space="preserve">Judge</w:t>
      </w:r>
      <w:r>
        <w:t xml:space="preserve">'s workflow, decision-making autonomy, and access to technology is paramount for economic stability and investor confidence in HCMC.</w:t>
      </w:r>
    </w:p>
    <w:bookmarkEnd w:id="20"/>
    <w:bookmarkStart w:id="21" w:name="problem-statement"/>
    <w:p>
      <w:pPr>
        <w:pStyle w:val="Heading2"/>
      </w:pPr>
      <w:r>
        <w:t xml:space="preserve">2. Problem Statement</w:t>
      </w:r>
    </w:p>
    <w:p>
      <w:pPr>
        <w:pStyle w:val="FirstParagraph"/>
      </w:pPr>
      <w:r>
        <w:t xml:space="preserve">HCMC's courts operate in a unique high-stakes environment. Rapid urbanization, foreign direct investment (FDI) growth (over $18 billion annually), and complex commercial disputes strain judicial resources. A 2023 study by the HCMC People's Court revealed that</w:t>
      </w:r>
      <w:r>
        <w:t xml:space="preserve"> </w:t>
      </w:r>
      <w:r>
        <w:rPr>
          <w:iCs/>
          <w:i/>
        </w:rPr>
        <w:t xml:space="preserve">Judge</w:t>
      </w:r>
      <w:r>
        <w:t xml:space="preserve">s spend 65% of their time on administrative tasks rather than case adjudication, directly contributing to case delays. Furthermore, only 12% of</w:t>
      </w:r>
      <w:r>
        <w:t xml:space="preserve"> </w:t>
      </w:r>
      <w:r>
        <w:rPr>
          <w:iCs/>
          <w:i/>
        </w:rPr>
        <w:t xml:space="preserve">Judge</w:t>
      </w:r>
      <w:r>
        <w:t xml:space="preserve">s in HCMC have received formal training in digital court management tools—a gap exacerbated by Vietnam's national push for e-court systems (e.g., the National Electronic Judicial Portal). This research directly confronts these systemic inefficiencies, positioning the</w:t>
      </w:r>
      <w:r>
        <w:t xml:space="preserve"> </w:t>
      </w:r>
      <w:r>
        <w:rPr>
          <w:iCs/>
          <w:i/>
        </w:rPr>
        <w:t xml:space="preserve">Judge</w:t>
      </w:r>
      <w:r>
        <w:t xml:space="preserve"> </w:t>
      </w:r>
      <w:r>
        <w:t xml:space="preserve">not merely as an adjudicator but as a pivotal agent of reform within Vietnam Ho Chi Minh City's legal ecosystem.</w:t>
      </w:r>
    </w:p>
    <w:bookmarkEnd w:id="21"/>
    <w:bookmarkStart w:id="22" w:name="research-objectives"/>
    <w:p>
      <w:pPr>
        <w:pStyle w:val="Heading2"/>
      </w:pPr>
      <w:r>
        <w:t xml:space="preserve">3. Research Objectives</w:t>
      </w:r>
    </w:p>
    <w:p>
      <w:pPr>
        <w:numPr>
          <w:ilvl w:val="0"/>
          <w:numId w:val="1001"/>
        </w:numPr>
        <w:pStyle w:val="Compact"/>
      </w:pPr>
      <w:r>
        <w:t xml:space="preserve">To analyze the workflow challenges faced by judicial</w:t>
      </w:r>
      <w:r>
        <w:t xml:space="preserve"> </w:t>
      </w:r>
      <w:r>
        <w:rPr>
          <w:iCs/>
          <w:i/>
        </w:rPr>
        <w:t xml:space="preserve">Judge</w:t>
      </w:r>
      <w:r>
        <w:t xml:space="preserve">s in HCMC’s People’s Courts and District Courts.</w:t>
      </w:r>
    </w:p>
    <w:p>
      <w:pPr>
        <w:numPr>
          <w:ilvl w:val="0"/>
          <w:numId w:val="1001"/>
        </w:numPr>
        <w:pStyle w:val="Compact"/>
      </w:pPr>
      <w:r>
        <w:t xml:space="preserve">To evaluate the impact of digital tools on case resolution times, focusing on how the</w:t>
      </w:r>
      <w:r>
        <w:t xml:space="preserve"> </w:t>
      </w:r>
      <w:r>
        <w:rPr>
          <w:iCs/>
          <w:i/>
        </w:rPr>
        <w:t xml:space="preserve">Judge</w:t>
      </w:r>
      <w:r>
        <w:t xml:space="preserve">'s interaction with technology affects efficiency.</w:t>
      </w:r>
    </w:p>
    <w:p>
      <w:pPr>
        <w:numPr>
          <w:ilvl w:val="0"/>
          <w:numId w:val="1001"/>
        </w:numPr>
        <w:pStyle w:val="Compact"/>
      </w:pPr>
      <w:r>
        <w:t xml:space="preserve">To propose a tailored professional development framework for judicial</w:t>
      </w:r>
      <w:r>
        <w:t xml:space="preserve"> </w:t>
      </w:r>
      <w:r>
        <w:rPr>
          <w:iCs/>
          <w:i/>
        </w:rPr>
        <w:t xml:space="preserve">Judge</w:t>
      </w:r>
      <w:r>
        <w:t xml:space="preserve">s in Vietnam Ho Chi Minh City, addressing gaps in technical and procedural training.</w:t>
      </w:r>
    </w:p>
    <w:p>
      <w:pPr>
        <w:numPr>
          <w:ilvl w:val="0"/>
          <w:numId w:val="1001"/>
        </w:numPr>
        <w:pStyle w:val="Compact"/>
      </w:pPr>
      <w:r>
        <w:t xml:space="preserve">To develop policy recommendations for the Supreme People’s Court of Vietnam to integrate HCMC’s findings into national judicial reform.</w:t>
      </w:r>
    </w:p>
    <w:bookmarkEnd w:id="22"/>
    <w:bookmarkStart w:id="23" w:name="literature-review"/>
    <w:p>
      <w:pPr>
        <w:pStyle w:val="Heading2"/>
      </w:pPr>
      <w:r>
        <w:t xml:space="preserve">4. Literature Review</w:t>
      </w:r>
    </w:p>
    <w:p>
      <w:pPr>
        <w:pStyle w:val="FirstParagraph"/>
      </w:pPr>
      <w:r>
        <w:t xml:space="preserve">Existing scholarship on Vietnamese judiciary primarily examines macro-level reforms (e.g., Nguyen, 2021), neglecting the micro-practice of the</w:t>
      </w:r>
      <w:r>
        <w:t xml:space="preserve"> </w:t>
      </w:r>
      <w:r>
        <w:rPr>
          <w:iCs/>
          <w:i/>
        </w:rPr>
        <w:t xml:space="preserve">Judge</w:t>
      </w:r>
      <w:r>
        <w:t xml:space="preserve">. Comparative studies from Singapore and Seoul highlight how judicial training in e-filing systems reduced case processing by 35% (Lee &amp; Tan, 2022). However, HCMC’s context—characterized by linguistic diversity (Vietnamese, Chinese, English), dense urban caseloads, and resource constraints—requires localized solutions. Crucially, no prior research has dissected the</w:t>
      </w:r>
      <w:r>
        <w:t xml:space="preserve"> </w:t>
      </w:r>
      <w:r>
        <w:rPr>
          <w:iCs/>
          <w:i/>
        </w:rPr>
        <w:t xml:space="preserve">Judge</w:t>
      </w:r>
      <w:r>
        <w:t xml:space="preserve">'s daily role in Vietnam Ho Chi Minh City through a systematic workflow lens. This study bridges that gap by centering the</w:t>
      </w:r>
      <w:r>
        <w:t xml:space="preserve"> </w:t>
      </w:r>
      <w:r>
        <w:rPr>
          <w:iCs/>
          <w:i/>
        </w:rPr>
        <w:t xml:space="preserve">Judge</w:t>
      </w:r>
      <w:r>
        <w:t xml:space="preserve"> </w:t>
      </w:r>
      <w:r>
        <w:t xml:space="preserve">as the core unit of analysis.</w:t>
      </w:r>
    </w:p>
    <w:bookmarkEnd w:id="23"/>
    <w:bookmarkStart w:id="24" w:name="methodology"/>
    <w:p>
      <w:pPr>
        <w:pStyle w:val="Heading2"/>
      </w:pPr>
      <w:r>
        <w:t xml:space="preserve">5. Methodology</w:t>
      </w:r>
    </w:p>
    <w:p>
      <w:pPr>
        <w:pStyle w:val="FirstParagraph"/>
      </w:pPr>
      <w:r>
        <w:t xml:space="preserve">This mixed-methods research will be conducted across three phases within Vietnam Ho Chi Minh City:</w:t>
      </w:r>
    </w:p>
    <w:p>
      <w:pPr>
        <w:numPr>
          <w:ilvl w:val="0"/>
          <w:numId w:val="1002"/>
        </w:numPr>
        <w:pStyle w:val="Compact"/>
      </w:pPr>
      <w:r>
        <w:rPr>
          <w:bCs/>
          <w:b/>
        </w:rPr>
        <w:t xml:space="preserve">Phase 1: Quantitative Analysis (Months 1–3)</w:t>
      </w:r>
      <w:r>
        <w:t xml:space="preserve">: Survey of 80 judicial</w:t>
      </w:r>
      <w:r>
        <w:t xml:space="preserve"> </w:t>
      </w:r>
      <w:r>
        <w:rPr>
          <w:iCs/>
          <w:i/>
        </w:rPr>
        <w:t xml:space="preserve">Judge</w:t>
      </w:r>
      <w:r>
        <w:t xml:space="preserve">s across HCMC’s 4 provincial-level courts and key district courts, measuring case load, time spent on digital vs. manual tasks, and satisfaction with current systems.</w:t>
      </w:r>
    </w:p>
    <w:p>
      <w:pPr>
        <w:numPr>
          <w:ilvl w:val="0"/>
          <w:numId w:val="1002"/>
        </w:numPr>
        <w:pStyle w:val="Compact"/>
      </w:pPr>
      <w:r>
        <w:rPr>
          <w:bCs/>
          <w:b/>
        </w:rPr>
        <w:t xml:space="preserve">Phase 2: Qualitative Deep Dives (Months 4–6)</w:t>
      </w:r>
      <w:r>
        <w:t xml:space="preserve">: Focus groups (n=15) with</w:t>
      </w:r>
      <w:r>
        <w:t xml:space="preserve"> </w:t>
      </w:r>
      <w:r>
        <w:rPr>
          <w:iCs/>
          <w:i/>
        </w:rPr>
        <w:t xml:space="preserve">Judge</w:t>
      </w:r>
      <w:r>
        <w:t xml:space="preserve">s and court administrators to explore barriers to efficiency, using HCMC-specific scenarios like cross-border trade disputes or FDI contract enforcement.</w:t>
      </w:r>
    </w:p>
    <w:p>
      <w:pPr>
        <w:numPr>
          <w:ilvl w:val="0"/>
          <w:numId w:val="1002"/>
        </w:numPr>
        <w:pStyle w:val="Compact"/>
      </w:pPr>
      <w:r>
        <w:rPr>
          <w:bCs/>
          <w:b/>
        </w:rPr>
        <w:t xml:space="preserve">Phase 3: Intervention Design &amp; Validation (Months 7–9)</w:t>
      </w:r>
      <w:r>
        <w:t xml:space="preserve">: Co-creation of a pilot training module for</w:t>
      </w:r>
      <w:r>
        <w:t xml:space="preserve"> </w:t>
      </w:r>
      <w:r>
        <w:rPr>
          <w:iCs/>
          <w:i/>
        </w:rPr>
        <w:t xml:space="preserve">Judge</w:t>
      </w:r>
      <w:r>
        <w:t xml:space="preserve">s, tested in two HCMC courts, with pre/post-assessment of case resolution speed and accuracy.</w:t>
      </w:r>
    </w:p>
    <w:p>
      <w:pPr>
        <w:pStyle w:val="FirstParagraph"/>
      </w:pPr>
      <w:r>
        <w:t xml:space="preserve">Data will be triangulated using court records (2021–2023), Vietnam’s National Electronic Judicial Portal metrics, and expert interviews. Ethical approval will be secured through the University of Social Sciences and Humanities, HCMC.</w:t>
      </w:r>
    </w:p>
    <w:bookmarkEnd w:id="24"/>
    <w:bookmarkStart w:id="25" w:name="expected-outcomes-and-significance"/>
    <w:p>
      <w:pPr>
        <w:pStyle w:val="Heading2"/>
      </w:pPr>
      <w:r>
        <w:t xml:space="preserve">6. Expected Outcomes and Significance</w:t>
      </w:r>
    </w:p>
    <w:p>
      <w:pPr>
        <w:pStyle w:val="FirstParagraph"/>
      </w:pPr>
      <w:r>
        <w:t xml:space="preserve">This research will yield two transformative deliverables: (1) A comprehensive "HCMC Judicial Efficiency Index" benchmarking</w:t>
      </w:r>
      <w:r>
        <w:t xml:space="preserve"> </w:t>
      </w:r>
      <w:r>
        <w:rPr>
          <w:iCs/>
          <w:i/>
        </w:rPr>
        <w:t xml:space="preserve">Judge</w:t>
      </w:r>
      <w:r>
        <w:t xml:space="preserve">-specific metrics; (2) A nationally applicable training toolkit for judicial</w:t>
      </w:r>
      <w:r>
        <w:t xml:space="preserve"> </w:t>
      </w:r>
      <w:r>
        <w:rPr>
          <w:iCs/>
          <w:i/>
        </w:rPr>
        <w:t xml:space="preserve">Judge</w:t>
      </w:r>
      <w:r>
        <w:t xml:space="preserve">s. Crucially, outcomes will directly serve Vietnam Ho Chi Minh City’s economic priorities—accelerating dispute resolution for FDI projects critical to HCMC’s $170 billion GDP target by 2030. By positioning the</w:t>
      </w:r>
      <w:r>
        <w:t xml:space="preserve"> </w:t>
      </w:r>
      <w:r>
        <w:rPr>
          <w:iCs/>
          <w:i/>
        </w:rPr>
        <w:t xml:space="preserve">Judge</w:t>
      </w:r>
      <w:r>
        <w:t xml:space="preserve"> </w:t>
      </w:r>
      <w:r>
        <w:t xml:space="preserve">as the nexus of reform, this study addresses a direct pain point: unresolved commercial cases deter foreign investors, costing HCMC an estimated $450 million annually in lost opportunities (World Bank, 2023).</w:t>
      </w:r>
    </w:p>
    <w:p>
      <w:pPr>
        <w:pStyle w:val="BodyText"/>
      </w:pPr>
      <w:r>
        <w:t xml:space="preserve">The broader significance extends to Vietnam’s national judicial modernization. Findings will be presented to the Ministry of Justice and Supreme People’s Court of Vietnam for integration into the 2025–2030 Judicial Reform Strategy. More profoundly, this work redefines the</w:t>
      </w:r>
      <w:r>
        <w:t xml:space="preserve"> </w:t>
      </w:r>
      <w:r>
        <w:rPr>
          <w:iCs/>
          <w:i/>
        </w:rPr>
        <w:t xml:space="preserve">Judge</w:t>
      </w:r>
      <w:r>
        <w:t xml:space="preserve">’s role—from passive arbiter to active change agent—within Vietnam Ho Chi Minh City’s unique socio-legal landscape.</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Resources Required</w:t>
      </w:r>
    </w:p>
    <w:p>
      <w:pPr>
        <w:pStyle w:val="BodyText"/>
      </w:pPr>
      <w:r>
        <w:t xml:space="preserve">Preparation &amp; Ethics Approval</w:t>
      </w:r>
    </w:p>
    <w:p>
      <w:pPr>
        <w:pStyle w:val="BodyText"/>
      </w:pPr>
      <w:r>
        <w:t xml:space="preserve">Month 1</w:t>
      </w:r>
    </w:p>
    <w:p>
      <w:pPr>
        <w:pStyle w:val="BodyText"/>
      </w:pPr>
      <w:r>
        <w:t xml:space="preserve">Vietnam Ministry of Justice liaison; HCMC Court access agreements</w:t>
      </w:r>
    </w:p>
    <w:p>
      <w:pPr>
        <w:pStyle w:val="BodyText"/>
      </w:pPr>
      <w:r>
        <w:t xml:space="preserve">Data Collection (Surveys/Interviews)</w:t>
      </w:r>
    </w:p>
    <w:p>
      <w:pPr>
        <w:pStyle w:val="BodyText"/>
      </w:pPr>
      <w:r>
        <w:t xml:space="preserve">Months 2–6</w:t>
      </w:r>
    </w:p>
    <w:p>
      <w:pPr>
        <w:pStyle w:val="BodyText"/>
      </w:pPr>
      <w:r>
        <w:t xml:space="preserve">HCMC judicial databases; Research team (2 researchers, 1 court liaison)</w:t>
      </w:r>
    </w:p>
    <w:p>
      <w:pPr>
        <w:pStyle w:val="BodyText"/>
      </w:pPr>
      <w:r>
        <w:t xml:space="preserve">Data Analysis &amp; Toolkit Development</w:t>
      </w:r>
    </w:p>
    <w:p>
      <w:pPr>
        <w:pStyle w:val="BodyText"/>
      </w:pPr>
      <w:r>
        <w:t xml:space="preserve">Months 7–8</w:t>
      </w:r>
    </w:p>
    <w:p>
      <w:pPr>
        <w:pStyle w:val="BodyText"/>
      </w:pPr>
      <w:r>
        <w:t xml:space="preserve">Statistical software (SPSS); Expert workshop with HCMC Court leaders</w:t>
      </w:r>
    </w:p>
    <w:p>
      <w:pPr>
        <w:pStyle w:val="BodyText"/>
      </w:pPr>
      <w:r>
        <w:t xml:space="preserve">Policy Dissemination &amp; Reporting</w:t>
      </w:r>
    </w:p>
    <w:p>
      <w:pPr>
        <w:pStyle w:val="BodyText"/>
      </w:pPr>
      <w:r>
        <w:t xml:space="preserve">Month 9</w:t>
      </w:r>
    </w:p>
    <w:p>
      <w:pPr>
        <w:pStyle w:val="BodyText"/>
      </w:pPr>
      <w:r>
        <w:t xml:space="preserve">National conference at Supreme People’s Court; Draft policy brief for Ministry of Justice</w:t>
      </w:r>
    </w:p>
    <w:bookmarkEnd w:id="26"/>
    <w:bookmarkStart w:id="27" w:name="Xc93f08306c341f3b4ece1dcb88f107f06587804"/>
    <w:p>
      <w:pPr>
        <w:pStyle w:val="Heading2"/>
      </w:pPr>
      <w:r>
        <w:t xml:space="preserve">8. Conclusion: The Path Forward for the Judge in Vietnam Ho Chi Minh City</w:t>
      </w:r>
    </w:p>
    <w:p>
      <w:pPr>
        <w:pStyle w:val="FirstParagraph"/>
      </w:pPr>
      <w:r>
        <w:t xml:space="preserve">The success of Vietnam’s economic transformation hinges on a judiciary capable of matching HCMC’s dynamism. This research proposal centers the indispensable role of the</w:t>
      </w:r>
      <w:r>
        <w:t xml:space="preserve"> </w:t>
      </w:r>
      <w:r>
        <w:rPr>
          <w:iCs/>
          <w:i/>
        </w:rPr>
        <w:t xml:space="preserve">Judge</w:t>
      </w:r>
      <w:r>
        <w:t xml:space="preserve">—the human element at the heart of every judicial decision—in achieving this balance. By rigorously examining how</w:t>
      </w:r>
      <w:r>
        <w:t xml:space="preserve"> </w:t>
      </w:r>
      <w:r>
        <w:rPr>
          <w:iCs/>
          <w:i/>
        </w:rPr>
        <w:t xml:space="preserve">Judge</w:t>
      </w:r>
      <w:r>
        <w:t xml:space="preserve">s operate within Vietnam Ho Chi Minh City’s courts, we move beyond abstract reform to actionable change. The findings will not only reduce case backlogs in HCMC but also establish a replicable model for other Vietnamese provinces grappling with similar pressures. Ultimately, this study asserts that investing in the professional capacity of the</w:t>
      </w:r>
      <w:r>
        <w:t xml:space="preserve"> </w:t>
      </w:r>
      <w:r>
        <w:rPr>
          <w:iCs/>
          <w:i/>
        </w:rPr>
        <w:t xml:space="preserve">Judge</w:t>
      </w:r>
      <w:r>
        <w:t xml:space="preserve"> </w:t>
      </w:r>
      <w:r>
        <w:t xml:space="preserve">is not merely an administrative necessity—it is the strategic investment Vietnam Ho Chi Minh City needs to secure its position as Southeast Asia’s most dynamic legal and business hub.</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Efficiency and Modernization in Vietnam Ho Chi Minh City</dc:title>
  <dc:creator/>
  <dc:language>en</dc:language>
  <cp:keywords/>
  <dcterms:created xsi:type="dcterms:W3CDTF">2025-12-10T12:28:43Z</dcterms:created>
  <dcterms:modified xsi:type="dcterms:W3CDTF">2025-12-10T12:28:43Z</dcterms:modified>
</cp:coreProperties>
</file>

<file path=docProps/custom.xml><?xml version="1.0" encoding="utf-8"?>
<Properties xmlns="http://schemas.openxmlformats.org/officeDocument/2006/custom-properties" xmlns:vt="http://schemas.openxmlformats.org/officeDocument/2006/docPropsVTypes"/>
</file>