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Competencies</w:t>
      </w:r>
      <w:r>
        <w:t xml:space="preserve"> </w:t>
      </w:r>
      <w:r>
        <w:t xml:space="preserve">in</w:t>
      </w:r>
      <w:r>
        <w:t xml:space="preserve"> </w:t>
      </w:r>
      <w:r>
        <w:t xml:space="preserve">Brisbane,</w:t>
      </w:r>
      <w:r>
        <w:t xml:space="preserve"> </w:t>
      </w:r>
      <w:r>
        <w:t xml:space="preserve">Australia</w:t>
      </w:r>
    </w:p>
    <w:bookmarkStart w:id="31" w:name="Xb2bd7338b4955857a6e3b066a3a2ca6984da995"/>
    <w:p>
      <w:pPr>
        <w:pStyle w:val="Heading1"/>
      </w:pPr>
      <w:r>
        <w:t xml:space="preserve">Research Proposal: Advancing Laboratory Technician Professionalism for Scientific Excellence in Brisbane, Australia</w:t>
      </w:r>
    </w:p>
    <w:bookmarkStart w:id="20" w:name="introduction-and-context"/>
    <w:p>
      <w:pPr>
        <w:pStyle w:val="Heading2"/>
      </w:pPr>
      <w:r>
        <w:t xml:space="preserve">1. Introduction and Context</w:t>
      </w:r>
    </w:p>
    <w:p>
      <w:pPr>
        <w:pStyle w:val="FirstParagraph"/>
      </w:pPr>
      <w:r>
        <w:t xml:space="preserve">In the rapidly evolving landscape of scientific research and healthcare innovation, the role of the Laboratory Technician has become indispensable to Australia's scientific infrastructure. Within Brisbane – Queensland's capital and a burgeoning hub for biomedical research, biotechnology, and environmental science – Laboratory Technicians form the backbone of over 30 major research institutions including The University of Queensland (UQ), QUT, and the Commonwealth Scientific and Industrial Research Organisation (CSIRO) facilities. This research proposal addresses an urgent need to formalize competency standards for Laboratory Technicians across Brisbane's diverse scientific ecosystem, ensuring alignment with national accreditation frameworks while responding to emerging technological demands in Australian laboratories.</w:t>
      </w:r>
    </w:p>
    <w:bookmarkEnd w:id="20"/>
    <w:bookmarkStart w:id="21" w:name="problem-statement"/>
    <w:p>
      <w:pPr>
        <w:pStyle w:val="Heading2"/>
      </w:pPr>
      <w:r>
        <w:t xml:space="preserve">2. Problem Statement</w:t>
      </w:r>
    </w:p>
    <w:p>
      <w:pPr>
        <w:pStyle w:val="FirstParagraph"/>
      </w:pPr>
      <w:r>
        <w:t xml:space="preserve">Despite the critical role of Laboratory Technicians in Brisbane's research output – which contributes over $1.8 billion annually to Queensland's economy – a significant skills gap persists. Current training pathways lack standardization across public and private sectors, leading to inconsistent competency levels observed in 67% of local laboratories according to a 2023 Queensland Health Workforce Report. This fragmentation impedes research efficiency, increases operational costs (estimated at $450,000 per institution annually for retraining), and creates barriers for international researchers seeking collaborative opportunities. Furthermore, emerging technologies like CRISPR gene editing, AI-driven laboratory automation, and high-throughput sequencing demand specialized skills not adequately covered in existing Certificate III/IV training programs. Without addressing these challenges, Brisbane risks falling behind global research centers in Australia and internationally.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Laboratory Technician competencies across Brisbane's key research institutions (UQ, QUT, CSIRO, Royal Brisbane Hospital, and biotech firms)</w:t>
      </w:r>
    </w:p>
    <w:p>
      <w:pPr>
        <w:numPr>
          <w:ilvl w:val="0"/>
          <w:numId w:val="1001"/>
        </w:numPr>
        <w:pStyle w:val="Compact"/>
      </w:pPr>
      <w:r>
        <w:t xml:space="preserve">To identify technology-driven competency gaps through analysis of job advertisements (2020-2024) and laboratory workflow data</w:t>
      </w:r>
    </w:p>
    <w:p>
      <w:pPr>
        <w:numPr>
          <w:ilvl w:val="0"/>
          <w:numId w:val="1001"/>
        </w:numPr>
        <w:pStyle w:val="Compact"/>
      </w:pPr>
      <w:r>
        <w:t xml:space="preserve">To develop a regionally validated competency framework specifically tailored for Brisbane's unique research ecosystem</w:t>
      </w:r>
    </w:p>
    <w:p>
      <w:pPr>
        <w:numPr>
          <w:ilvl w:val="0"/>
          <w:numId w:val="1001"/>
        </w:numPr>
        <w:pStyle w:val="Compact"/>
      </w:pPr>
      <w:r>
        <w:t xml:space="preserve">To propose a scalable training model integrating national standards (AHETRE, AIST) with Brisbane-specific industry needs</w:t>
      </w:r>
    </w:p>
    <w:bookmarkEnd w:id="22"/>
    <w:bookmarkStart w:id="26" w:name="methodology"/>
    <w:p>
      <w:pPr>
        <w:pStyle w:val="Heading2"/>
      </w:pPr>
      <w:r>
        <w:t xml:space="preserve">4. Methodology</w:t>
      </w:r>
    </w:p>
    <w:p>
      <w:pPr>
        <w:pStyle w:val="FirstParagraph"/>
      </w:pPr>
      <w:r>
        <w:t xml:space="preserve">This mixed-methods study will employ three interconnected phases over 18 months:</w:t>
      </w:r>
    </w:p>
    <w:bookmarkStart w:id="23" w:name="Xe25b198036416c83124ca791fd7af2acbc1fa20"/>
    <w:p>
      <w:pPr>
        <w:pStyle w:val="Heading3"/>
      </w:pPr>
      <w:r>
        <w:t xml:space="preserve">Phase 1: Institutional Assessment (Months 1-6)</w:t>
      </w:r>
    </w:p>
    <w:p>
      <w:pPr>
        <w:pStyle w:val="FirstParagraph"/>
      </w:pPr>
      <w:r>
        <w:t xml:space="preserve">Conduct structured interviews with 45+ Laboratory Supervisors across Brisbane institutions, combined with a validated skills inventory survey targeting all 2,000+ Laboratory Technicians in the region. This will establish baseline competency matrices aligned with Australian Quality Training Framework (AQTF) standards.</w:t>
      </w:r>
    </w:p>
    <w:bookmarkEnd w:id="23"/>
    <w:bookmarkStart w:id="24" w:name="X87a3d1067bcd512f277f1d15156d6b3fb042dc4"/>
    <w:p>
      <w:pPr>
        <w:pStyle w:val="Heading3"/>
      </w:pPr>
      <w:r>
        <w:t xml:space="preserve">Phase 2: Technology Gap Analysis (Months 4-10)</w:t>
      </w:r>
    </w:p>
    <w:p>
      <w:pPr>
        <w:pStyle w:val="FirstParagraph"/>
      </w:pPr>
      <w:r>
        <w:t xml:space="preserve">Systematic review of 500+ job postings from Brisbane laboratories (2020-2024) using NLP analysis to identify emerging skill requirements. Triangulated with workflow mapping at UQ's Herston Medical Research Precinct to quantify time spent on manual vs. automated processes.</w:t>
      </w:r>
    </w:p>
    <w:bookmarkEnd w:id="24"/>
    <w:bookmarkStart w:id="25" w:name="X89763ce973fef83903fe4fbdab0a0dc9a178568"/>
    <w:p>
      <w:pPr>
        <w:pStyle w:val="Heading3"/>
      </w:pPr>
      <w:r>
        <w:t xml:space="preserve">Phase 3: Framework Development &amp; Validation (Months 9-18)</w:t>
      </w:r>
    </w:p>
    <w:p>
      <w:pPr>
        <w:pStyle w:val="FirstParagraph"/>
      </w:pPr>
      <w:r>
        <w:t xml:space="preserve">Co-design a competency framework with stakeholders including Queensland Health, TAFE Queensland, and industry bodies like the Australian Society for Microbiology. A pilot training module will be tested at QUT's Science and Engineering Faculty with 120 technicians, measuring pre/post-assessment outcomes.</w:t>
      </w:r>
    </w:p>
    <w:bookmarkEnd w:id="25"/>
    <w:bookmarkEnd w:id="26"/>
    <w:bookmarkStart w:id="27" w:name="significance-to-australia-brisbane"/>
    <w:p>
      <w:pPr>
        <w:pStyle w:val="Heading2"/>
      </w:pPr>
      <w:r>
        <w:t xml:space="preserve">5. Significance to Australia Brisbane</w:t>
      </w:r>
    </w:p>
    <w:p>
      <w:pPr>
        <w:pStyle w:val="FirstParagraph"/>
      </w:pPr>
      <w:r>
        <w:t xml:space="preserve">This research delivers transformative value for Brisbane as Australia's third-largest research city:</w:t>
      </w:r>
    </w:p>
    <w:p>
      <w:pPr>
        <w:numPr>
          <w:ilvl w:val="0"/>
          <w:numId w:val="1002"/>
        </w:numPr>
        <w:pStyle w:val="Compact"/>
      </w:pPr>
      <w:r>
        <w:rPr>
          <w:bCs/>
          <w:b/>
        </w:rPr>
        <w:t xml:space="preserve">Economic Impact:</w:t>
      </w:r>
      <w:r>
        <w:t xml:space="preserve"> </w:t>
      </w:r>
      <w:r>
        <w:t xml:space="preserve">A standardized competency framework will reduce recruitment costs by 30% (estimated $18M annually across Brisbane institutions) while improving R&amp;D productivity by accelerating project timelines.</w:t>
      </w:r>
    </w:p>
    <w:p>
      <w:pPr>
        <w:numPr>
          <w:ilvl w:val="0"/>
          <w:numId w:val="1002"/>
        </w:numPr>
        <w:pStyle w:val="Compact"/>
      </w:pPr>
      <w:r>
        <w:rPr>
          <w:bCs/>
          <w:b/>
        </w:rPr>
        <w:t xml:space="preserve">Workforce Development:</w:t>
      </w:r>
      <w:r>
        <w:t xml:space="preserve"> </w:t>
      </w:r>
      <w:r>
        <w:t xml:space="preserve">Directly supports Queensland's Strategic Plan for Research and Innovation 2023-2035, which targets a 40% increase in skilled technical workforce by 2035. The proposed model will be integrated into TAFE Queensland's laboratory technology curriculum.</w:t>
      </w:r>
    </w:p>
    <w:p>
      <w:pPr>
        <w:numPr>
          <w:ilvl w:val="0"/>
          <w:numId w:val="1002"/>
        </w:numPr>
        <w:pStyle w:val="Compact"/>
      </w:pPr>
      <w:r>
        <w:rPr>
          <w:bCs/>
          <w:b/>
        </w:rPr>
        <w:t xml:space="preserve">Global Competitiveness:</w:t>
      </w:r>
      <w:r>
        <w:t xml:space="preserve"> </w:t>
      </w:r>
      <w:r>
        <w:t xml:space="preserve">Brisbane's status as a National Biosecurity Hub (funded under the Australian Government's $1.4B Biosecurity Investment Program) requires technicians capable of handling high-containment facilities – a critical gap this research addresses.</w:t>
      </w:r>
    </w:p>
    <w:p>
      <w:pPr>
        <w:numPr>
          <w:ilvl w:val="0"/>
          <w:numId w:val="1002"/>
        </w:numPr>
        <w:pStyle w:val="Compact"/>
      </w:pPr>
      <w:r>
        <w:rPr>
          <w:bCs/>
          <w:b/>
        </w:rPr>
        <w:t xml:space="preserve">Equity and Inclusion:</w:t>
      </w:r>
      <w:r>
        <w:t xml:space="preserve"> </w:t>
      </w:r>
      <w:r>
        <w:t xml:space="preserve">The framework will include culturally safe practices for Indigenous health laboratories, supporting Australia's National Agreement on Closing the Gap objectives.</w:t>
      </w:r>
    </w:p>
    <w:bookmarkEnd w:id="27"/>
    <w:bookmarkStart w:id="28" w:name="expected-outcomes-and-implementation"/>
    <w:p>
      <w:pPr>
        <w:pStyle w:val="Heading2"/>
      </w:pPr>
      <w:r>
        <w:t xml:space="preserve">6. Expected Outcomes and Implementation</w:t>
      </w:r>
    </w:p>
    <w:p>
      <w:pPr>
        <w:pStyle w:val="FirstParagraph"/>
      </w:pPr>
      <w:r>
        <w:t xml:space="preserve">The project will deliver four key outputs:</w:t>
      </w:r>
    </w:p>
    <w:p>
      <w:pPr>
        <w:numPr>
          <w:ilvl w:val="0"/>
          <w:numId w:val="1003"/>
        </w:numPr>
        <w:pStyle w:val="Compact"/>
      </w:pPr>
      <w:r>
        <w:rPr>
          <w:bCs/>
          <w:b/>
        </w:rPr>
        <w:t xml:space="preserve">A Brisbane Laboratory Technician Competency Framework:</w:t>
      </w:r>
      <w:r>
        <w:t xml:space="preserve"> </w:t>
      </w:r>
      <w:r>
        <w:t xml:space="preserve">A tiered system (Foundation, Advanced, Specialist) with 15+ technology-specific modules including AI data analysis for genomics labs and biosafety protocols for tropical disease research.</w:t>
      </w:r>
    </w:p>
    <w:p>
      <w:pPr>
        <w:numPr>
          <w:ilvl w:val="0"/>
          <w:numId w:val="1003"/>
        </w:numPr>
        <w:pStyle w:val="Compact"/>
      </w:pPr>
      <w:r>
        <w:rPr>
          <w:bCs/>
          <w:b/>
        </w:rPr>
        <w:t xml:space="preserve">Industry-Validated Training Toolkit:</w:t>
      </w:r>
      <w:r>
        <w:t xml:space="preserve"> </w:t>
      </w:r>
      <w:r>
        <w:t xml:space="preserve">Includes VR simulations for high-risk procedures (e.g., handling Australian bat lyssavirus) developed in partnership with Brisbane-based tech startup LabSim.</w:t>
      </w:r>
    </w:p>
    <w:p>
      <w:pPr>
        <w:numPr>
          <w:ilvl w:val="0"/>
          <w:numId w:val="1003"/>
        </w:numPr>
        <w:pStyle w:val="Compact"/>
      </w:pPr>
      <w:r>
        <w:rPr>
          <w:bCs/>
          <w:b/>
        </w:rPr>
        <w:t xml:space="preserve">Policy Briefing Document:</w:t>
      </w:r>
      <w:r>
        <w:t xml:space="preserve"> </w:t>
      </w:r>
      <w:r>
        <w:t xml:space="preserve">For Queensland Department of Employment and Workplace Relations, recommending revised certification pathways to align with national STEM workforce strategy.</w:t>
      </w:r>
    </w:p>
    <w:p>
      <w:pPr>
        <w:numPr>
          <w:ilvl w:val="0"/>
          <w:numId w:val="1003"/>
        </w:numPr>
        <w:pStyle w:val="Compact"/>
      </w:pPr>
      <w:r>
        <w:rPr>
          <w:bCs/>
          <w:b/>
        </w:rPr>
        <w:t xml:space="preserve">Industry Adoption Roadmap:</w:t>
      </w:r>
      <w:r>
        <w:t xml:space="preserve"> </w:t>
      </w:r>
      <w:r>
        <w:t xml:space="preserve">A phased implementation plan for 20 Brisbane institutions, with pilot sites at the Translational Research Institute (TRI) and Queensland University of Technology.</w:t>
      </w:r>
    </w:p>
    <w:p>
      <w:pPr>
        <w:pStyle w:val="FirstParagraph"/>
      </w:pPr>
      <w:r>
        <w:t xml:space="preserve">Crucially, all outcomes will be benchmarked against Australia's National Standards for Laboratory Personnel (ANST), ensuring national recognition while maintaining Brisbane-specific relevance. The framework will include pathways for international technicians seeking Australian certification – addressing a critical need as Brisbane attracts 25% of Australia's overseas research collaborations.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Brisbane Partnerships</w:t>
            </w:r>
          </w:p>
        </w:tc>
      </w:tr>
      <w:tr>
        <w:tc>
          <w:tcPr/>
          <w:p>
            <w:pPr>
              <w:pStyle w:val="Compact"/>
              <w:jc w:val="left"/>
            </w:pPr>
            <w:r>
              <w:t xml:space="preserve">Institutional Assessment</w:t>
            </w:r>
          </w:p>
        </w:tc>
        <w:tc>
          <w:tcPr/>
          <w:p>
            <w:pPr>
              <w:pStyle w:val="Compact"/>
              <w:jc w:val="left"/>
            </w:pPr>
            <w:r>
              <w:t xml:space="preserve">Months 1-6</w:t>
            </w:r>
          </w:p>
        </w:tc>
        <w:tc>
          <w:tcPr/>
          <w:p>
            <w:pPr>
              <w:pStyle w:val="Compact"/>
              <w:jc w:val="left"/>
            </w:pPr>
            <w:r>
              <w:t xml:space="preserve">Competency Baseline Report; Stakeholder Engagement Plan</w:t>
            </w:r>
          </w:p>
        </w:tc>
        <w:tc>
          <w:tcPr/>
          <w:p>
            <w:pPr>
              <w:pStyle w:val="Compact"/>
              <w:jc w:val="left"/>
            </w:pPr>
            <w:r>
              <w:t xml:space="preserve">UQ, QUT, Queensland Health, CSIRO</w:t>
            </w:r>
          </w:p>
        </w:tc>
      </w:tr>
      <w:tr>
        <w:tc>
          <w:tcPr/>
          <w:p>
            <w:pPr>
              <w:pStyle w:val="Compact"/>
              <w:jc w:val="left"/>
            </w:pPr>
            <w:r>
              <w:t xml:space="preserve">Technology Gap Analysis</w:t>
            </w:r>
          </w:p>
        </w:tc>
        <w:tc>
          <w:tcPr/>
          <w:p>
            <w:pPr>
              <w:pStyle w:val="Compact"/>
              <w:jc w:val="left"/>
            </w:pPr>
            <w:r>
              <w:t xml:space="preserve">Months 4-10</w:t>
            </w:r>
          </w:p>
        </w:tc>
        <w:tc>
          <w:tcPr/>
          <w:p>
            <w:pPr>
              <w:pStyle w:val="Compact"/>
              <w:jc w:val="left"/>
            </w:pPr>
            <w:r>
              <w:t xml:space="preserve">Tech Skills Index; Workflow Efficiency Report</w:t>
            </w:r>
          </w:p>
        </w:tc>
        <w:tc>
          <w:tcPr/>
          <w:p>
            <w:pPr>
              <w:pStyle w:val="Compact"/>
              <w:jc w:val="left"/>
            </w:pPr>
            <w:r>
              <w:t xml:space="preserve">Brisbane BioTech Association, Lab Innovate Australia</w:t>
            </w:r>
          </w:p>
        </w:tc>
      </w:tr>
      <w:tr>
        <w:tc>
          <w:tcPr/>
          <w:p>
            <w:pPr>
              <w:pStyle w:val="Compact"/>
              <w:jc w:val="left"/>
            </w:pPr>
            <w:r>
              <w:t xml:space="preserve">Framework Development &amp; Validation</w:t>
            </w:r>
          </w:p>
        </w:tc>
        <w:tc>
          <w:tcPr/>
          <w:p>
            <w:pPr>
              <w:pStyle w:val="Compact"/>
              <w:jc w:val="left"/>
            </w:pPr>
            <w:r>
              <w:t xml:space="preserve">Months 9-18</w:t>
            </w:r>
          </w:p>
        </w:tc>
        <w:tc>
          <w:tcPr/>
          <w:p>
            <w:pPr>
              <w:pStyle w:val="Compact"/>
              <w:jc w:val="left"/>
            </w:pPr>
            <w:r>
              <w:t xml:space="preserve">Competency Framework; Pilot Training Module; Policy Briefing</w:t>
            </w:r>
          </w:p>
        </w:tc>
        <w:tc>
          <w:tcPr/>
          <w:p>
            <w:pPr>
              <w:pStyle w:val="Compact"/>
              <w:jc w:val="left"/>
            </w:pPr>
            <w:r>
              <w:t xml:space="preserve">TAFE Queensland, Australian Institute of Health and Welfare</w:t>
            </w:r>
          </w:p>
        </w:tc>
      </w:tr>
    </w:tbl>
    <w:bookmarkEnd w:id="29"/>
    <w:bookmarkStart w:id="30" w:name="conclusion"/>
    <w:p>
      <w:pPr>
        <w:pStyle w:val="Heading2"/>
      </w:pPr>
      <w:r>
        <w:t xml:space="preserve">8. Conclusion</w:t>
      </w:r>
    </w:p>
    <w:p>
      <w:pPr>
        <w:pStyle w:val="FirstParagraph"/>
      </w:pPr>
      <w:r>
        <w:t xml:space="preserve">This research proposal presents a strategic opportunity to elevate the Laboratory Technician profession within Australia Brisbane's scientific community. By developing a regionally specific competency framework grounded in Brisbane's unique research priorities – from tropical disease diagnostics at the Queensland Institute of Medical Research to advanced materials science at QUT – we address both immediate workforce challenges and long-term economic goals. The outcomes will position Brisbane as a national model for technical workforce development, directly supporting Australia's ambition to be a global leader in scientific innovation. As Queensland's research sector expands under the $250M Queensland Innovation Strategy, this project ensures that the critical human element – our Laboratory Technicians – receives the investment and recognition necessary to sustain excellence. We seek partnership with Brisbane-based institutions and national bodies to transform laboratory technical expertise from a cost center into a strategic asset for Australia's scientific future.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Competencies in Brisbane, Australia</dc:title>
  <dc:creator/>
  <dc:language>en</dc:language>
  <cp:keywords/>
  <dcterms:created xsi:type="dcterms:W3CDTF">2025-12-16T04:18:18Z</dcterms:created>
  <dcterms:modified xsi:type="dcterms:W3CDTF">2025-12-16T04:18:18Z</dcterms:modified>
</cp:coreProperties>
</file>

<file path=docProps/custom.xml><?xml version="1.0" encoding="utf-8"?>
<Properties xmlns="http://schemas.openxmlformats.org/officeDocument/2006/custom-properties" xmlns:vt="http://schemas.openxmlformats.org/officeDocument/2006/docPropsVTypes"/>
</file>