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Melbourne,</w:t>
      </w:r>
      <w:r>
        <w:t xml:space="preserve"> </w:t>
      </w:r>
      <w:r>
        <w:t xml:space="preserve">Australia</w:t>
      </w:r>
    </w:p>
    <w:bookmarkStart w:id="29" w:name="X50540d0f73979eb94dcd183004da93131382461"/>
    <w:p>
      <w:pPr>
        <w:pStyle w:val="Heading1"/>
      </w:pPr>
      <w:r>
        <w:t xml:space="preserve">Research Proposal: Enhancing Workforce Competency and Retention of Laboratory Technicians in Melbourne, Australia</w:t>
      </w:r>
    </w:p>
    <w:bookmarkStart w:id="20" w:name="introduction"/>
    <w:p>
      <w:pPr>
        <w:pStyle w:val="Heading2"/>
      </w:pPr>
      <w:r>
        <w:t xml:space="preserve">1. Introduction</w:t>
      </w:r>
    </w:p>
    <w:p>
      <w:pPr>
        <w:pStyle w:val="FirstParagraph"/>
      </w:pPr>
      <w:r>
        <w:t xml:space="preserve">The role of the</w:t>
      </w:r>
      <w:r>
        <w:t xml:space="preserve"> </w:t>
      </w:r>
      <w:r>
        <w:rPr>
          <w:bCs/>
          <w:b/>
        </w:rPr>
        <w:t xml:space="preserve">Laboratory Technician</w:t>
      </w:r>
      <w:r>
        <w:t xml:space="preserve"> </w:t>
      </w:r>
      <w:r>
        <w:t xml:space="preserve">is fundamental to the integrity and efficiency of Australia's biomedical, environmental, and industrial sectors. In Melbourne, Victoria—a hub for research institutions like The University of Melbourne, Monash University, CSIRO Parkville Centre, and Royal Melbourne Hospital—the demand for skilled Laboratory Technicians has surged exponentially. This</w:t>
      </w:r>
      <w:r>
        <w:t xml:space="preserve"> </w:t>
      </w:r>
      <w:r>
        <w:rPr>
          <w:bCs/>
          <w:b/>
        </w:rPr>
        <w:t xml:space="preserve">Research Proposal</w:t>
      </w:r>
      <w:r>
        <w:t xml:space="preserve"> </w:t>
      </w:r>
      <w:r>
        <w:t xml:space="preserve">addresses a critical gap in understanding the evolving competencies required within this workforce and proposes evidence-based strategies to enhance recruitment, retention, and professional development specifically tailored to the</w:t>
      </w:r>
      <w:r>
        <w:t xml:space="preserve"> </w:t>
      </w:r>
      <w:r>
        <w:rPr>
          <w:bCs/>
          <w:b/>
        </w:rPr>
        <w:t xml:space="preserve">Australia Melbourne</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Melbourne's laboratory ecosystem faces a significant challenge: a projected 20% deficit in qualified Laboratory Technicians by 2030 (Victorian Department of Health, 2023), driven by an aging workforce, increasing complexity of diagnostic technologies (e.g., genomic sequencing, AI-driven pathology), and competition from emerging biotech hubs globally. Current training pathways often fail to align with industry needs specific to Melbourne's unique mix of clinical diagnostics, academic research, and manufacturing. This misalignment risks compromising the quality of healthcare services (e.g., pathology reporting times), slowing medical innovation in Victoria’s $15 billion biotech sector, and undermining Australia’s global standing in life sciences.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 requirements and competency gaps for Laboratory Technicians across Melbourne's key sectors (clinical, research, environmental, industrial).</w:t>
      </w:r>
    </w:p>
    <w:p>
      <w:pPr>
        <w:numPr>
          <w:ilvl w:val="0"/>
          <w:numId w:val="1001"/>
        </w:numPr>
        <w:pStyle w:val="Compact"/>
      </w:pPr>
      <w:r>
        <w:t xml:space="preserve">To identify the primary drivers of turnover and retention challenges within Melbourne-based laboratories.</w:t>
      </w:r>
    </w:p>
    <w:p>
      <w:pPr>
        <w:numPr>
          <w:ilvl w:val="0"/>
          <w:numId w:val="1001"/>
        </w:numPr>
        <w:pStyle w:val="Compact"/>
      </w:pPr>
      <w:r>
        <w:t xml:space="preserve">To evaluate the effectiveness of existing vocational training programs (e.g., TAFE Victoria diplomas) and accreditation pathways (NATA, ASCO) in meeting Melbourne's specific workforce needs.</w:t>
      </w:r>
    </w:p>
    <w:p>
      <w:pPr>
        <w:numPr>
          <w:ilvl w:val="0"/>
          <w:numId w:val="1001"/>
        </w:numPr>
        <w:pStyle w:val="Compact"/>
      </w:pPr>
      <w:r>
        <w:t xml:space="preserve">To co-design a practical, scalable Professional Development Framework for Laboratory Technicians in Melbourne that bridges identified gaps.</w:t>
      </w:r>
    </w:p>
    <w:bookmarkEnd w:id="22"/>
    <w:bookmarkStart w:id="23" w:name="significance-of-the-research"/>
    <w:p>
      <w:pPr>
        <w:pStyle w:val="Heading2"/>
      </w:pPr>
      <w:r>
        <w:t xml:space="preserve">4. Significance of the Research</w:t>
      </w:r>
    </w:p>
    <w:p>
      <w:pPr>
        <w:pStyle w:val="FirstParagraph"/>
      </w:pPr>
      <w:r>
        <w:t xml:space="preserve">This research is critically important for</w:t>
      </w:r>
      <w:r>
        <w:t xml:space="preserve"> </w:t>
      </w:r>
      <w:r>
        <w:rPr>
          <w:bCs/>
          <w:b/>
        </w:rPr>
        <w:t xml:space="preserve">Australia Melbourne</w:t>
      </w:r>
      <w:r>
        <w:t xml:space="preserve"> </w:t>
      </w:r>
      <w:r>
        <w:t xml:space="preserve">due to the region's strategic position as a national leader in health and innovation. A skilled Laboratory Technician workforce directly impacts:</w:t>
      </w:r>
    </w:p>
    <w:p>
      <w:pPr>
        <w:numPr>
          <w:ilvl w:val="0"/>
          <w:numId w:val="1002"/>
        </w:numPr>
        <w:pStyle w:val="Compact"/>
      </w:pPr>
      <w:r>
        <w:rPr>
          <w:bCs/>
          <w:b/>
        </w:rPr>
        <w:t xml:space="preserve">Health Outcomes:</w:t>
      </w:r>
      <w:r>
        <w:t xml:space="preserve"> </w:t>
      </w:r>
      <w:r>
        <w:t xml:space="preserve">Timely, accurate diagnostic results in Melbourne’s hospitals (e.g., Alfred Hospital, Royal Children’s) are dependent on technician expertise.</w:t>
      </w:r>
    </w:p>
    <w:p>
      <w:pPr>
        <w:numPr>
          <w:ilvl w:val="0"/>
          <w:numId w:val="1002"/>
        </w:numPr>
        <w:pStyle w:val="Compact"/>
      </w:pPr>
      <w:r>
        <w:rPr>
          <w:bCs/>
          <w:b/>
        </w:rPr>
        <w:t xml:space="preserve">Economic Growth:</w:t>
      </w:r>
      <w:r>
        <w:t xml:space="preserve"> </w:t>
      </w:r>
      <w:r>
        <w:t xml:space="preserve">Melbourne's biotech and pharmaceutical industries (employing over 50,000 people) require a steady pipeline of technicians to sustain growth under Victoria's BioHealth Strategy 2035.</w:t>
      </w:r>
    </w:p>
    <w:p>
      <w:pPr>
        <w:numPr>
          <w:ilvl w:val="0"/>
          <w:numId w:val="1002"/>
        </w:numPr>
        <w:pStyle w:val="Compact"/>
      </w:pPr>
      <w:r>
        <w:rPr>
          <w:bCs/>
          <w:b/>
        </w:rPr>
        <w:t xml:space="preserve">National Competitiveness:</w:t>
      </w:r>
      <w:r>
        <w:t xml:space="preserve"> </w:t>
      </w:r>
      <w:r>
        <w:t xml:space="preserve">Australia’s reputation for high-quality laboratory services (e.g., in international clinical trials) hinges on Melbourne's workforce capability.</w:t>
      </w:r>
    </w:p>
    <w:p>
      <w:pPr>
        <w:pStyle w:val="FirstParagraph"/>
      </w:pPr>
      <w:r>
        <w:t xml:space="preserve">Failure to address this gap threatens Victoria’s economic goals and the quality of healthcare for its 5 million+ residents.</w:t>
      </w:r>
    </w:p>
    <w:bookmarkEnd w:id="23"/>
    <w:bookmarkStart w:id="24" w:name="X9c6ee7f485af02d3e2fd3322ff6520d1651614e"/>
    <w:p>
      <w:pPr>
        <w:pStyle w:val="Heading2"/>
      </w:pPr>
      <w:r>
        <w:t xml:space="preserve">5. Literature Review: Contextualizing the Melbourne Landscape</w:t>
      </w:r>
    </w:p>
    <w:p>
      <w:pPr>
        <w:pStyle w:val="FirstParagraph"/>
      </w:pPr>
      <w:r>
        <w:t xml:space="preserve">While global literature highlights technician shortages (WHO, 2021), studies specific to Australia are limited. Existing Australian reports (e.g., ACSM, 2020) note systemic issues but lack granular detail on Melbourne’s unique dynamics. Research from the University of Melbourne’s School of Population and Global Health indicates that Victorian laboratories report higher turnover rates (35%) compared to the national average (28%), partly due to inadequate career progression pathways. Crucially, no recent study has examined how emerging technologies like portable lab-on-a-chip devices or AI-assisted image analysis are reshaping the core competencies required of a</w:t>
      </w:r>
      <w:r>
        <w:t xml:space="preserve"> </w:t>
      </w:r>
      <w:r>
        <w:rPr>
          <w:bCs/>
          <w:b/>
        </w:rPr>
        <w:t xml:space="preserve">Laboratory Technician</w:t>
      </w:r>
      <w:r>
        <w:t xml:space="preserve"> </w:t>
      </w:r>
      <w:r>
        <w:t xml:space="preserve">within Melbourne’s diverse lab environments.</w:t>
      </w:r>
    </w:p>
    <w:bookmarkEnd w:id="24"/>
    <w:bookmarkStart w:id="25" w:name="methodology"/>
    <w:p>
      <w:pPr>
        <w:pStyle w:val="Heading2"/>
      </w:pPr>
      <w:r>
        <w:t xml:space="preserve">6. Methodology</w:t>
      </w:r>
    </w:p>
    <w:p>
      <w:pPr>
        <w:pStyle w:val="FirstParagraph"/>
      </w:pPr>
      <w:r>
        <w:t xml:space="preserve">This mixed-methods study will be conducted over 18 months, with a primary focus on Melbourne metropolitan area laboratories. It involves:</w:t>
      </w:r>
    </w:p>
    <w:p>
      <w:pPr>
        <w:numPr>
          <w:ilvl w:val="0"/>
          <w:numId w:val="1003"/>
        </w:numPr>
        <w:pStyle w:val="Compact"/>
      </w:pPr>
      <w:r>
        <w:rPr>
          <w:bCs/>
          <w:b/>
        </w:rPr>
        <w:t xml:space="preserve">Phase 1: Sectoral Analysis (Months 1-4):</w:t>
      </w:r>
      <w:r>
        <w:t xml:space="preserve"> </w:t>
      </w:r>
      <w:r>
        <w:t xml:space="preserve">Survey of all major laboratories in Melbourne (n=65+), including hospitals, universities, commercial diagnostic labs (e.g., Sonic Health, RMIT BioCentre), and environmental testing firms. The survey will map current job roles, required skills (technical &amp; soft), training sources, and retention challenges.</w:t>
      </w:r>
    </w:p>
    <w:p>
      <w:pPr>
        <w:numPr>
          <w:ilvl w:val="0"/>
          <w:numId w:val="1003"/>
        </w:numPr>
        <w:pStyle w:val="Compact"/>
      </w:pPr>
      <w:r>
        <w:rPr>
          <w:bCs/>
          <w:b/>
        </w:rPr>
        <w:t xml:space="preserve">Phase 2: In-depth Stakeholder Interviews (Months 5-9):</w:t>
      </w:r>
      <w:r>
        <w:t xml:space="preserve"> </w:t>
      </w:r>
      <w:r>
        <w:t xml:space="preserve">Conducting semi-structured interviews with key stakeholders: Laboratory Managers (n=30), Senior Technicians (n=25), Training Providers (TAFEs, Universities - n=10), and Industry bodies (e.g., Australian Society for Microbiology, Victorian Health Department).</w:t>
      </w:r>
    </w:p>
    <w:p>
      <w:pPr>
        <w:numPr>
          <w:ilvl w:val="0"/>
          <w:numId w:val="1003"/>
        </w:numPr>
        <w:pStyle w:val="Compact"/>
      </w:pPr>
      <w:r>
        <w:rPr>
          <w:bCs/>
          <w:b/>
        </w:rPr>
        <w:t xml:space="preserve">Phase 3: Skills Gap Analysis &amp; Framework Development (Months 10-16):</w:t>
      </w:r>
      <w:r>
        <w:t xml:space="preserve"> </w:t>
      </w:r>
      <w:r>
        <w:t xml:space="preserve">Using thematic analysis of survey/interview data to identify priority competency gaps. Collaborative workshops with industry partners will co-design the Professional Development Framework.</w:t>
      </w:r>
    </w:p>
    <w:p>
      <w:pPr>
        <w:numPr>
          <w:ilvl w:val="0"/>
          <w:numId w:val="1003"/>
        </w:numPr>
        <w:pStyle w:val="Compact"/>
      </w:pPr>
      <w:r>
        <w:rPr>
          <w:bCs/>
          <w:b/>
        </w:rPr>
        <w:t xml:space="preserve">Phase 4: Validation &amp; Dissemination (Months 17-18):</w:t>
      </w:r>
      <w:r>
        <w:t xml:space="preserve"> </w:t>
      </w:r>
      <w:r>
        <w:t xml:space="preserve">Piloting key elements of the framework in 3 Melbourne labs and finalizing recommendations for implementation across Victoria.</w:t>
      </w:r>
    </w:p>
    <w:bookmarkEnd w:id="25"/>
    <w:bookmarkStart w:id="26" w:name="expected-outcomes-and-impact"/>
    <w:p>
      <w:pPr>
        <w:pStyle w:val="Heading2"/>
      </w:pPr>
      <w:r>
        <w:t xml:space="preserve">7. Expected Outcomes and Impact</w:t>
      </w:r>
    </w:p>
    <w:p>
      <w:pPr>
        <w:pStyle w:val="FirstParagraph"/>
      </w:pPr>
      <w:r>
        <w:t xml:space="preserve">This research will deliver:</w:t>
      </w:r>
    </w:p>
    <w:p>
      <w:pPr>
        <w:numPr>
          <w:ilvl w:val="0"/>
          <w:numId w:val="1004"/>
        </w:numPr>
        <w:pStyle w:val="Compact"/>
      </w:pPr>
      <w:r>
        <w:t xml:space="preserve">A detailed, evidence-based report on the current state of Laboratory Technician workforce needs in Melbourne.</w:t>
      </w:r>
    </w:p>
    <w:p>
      <w:pPr>
        <w:numPr>
          <w:ilvl w:val="0"/>
          <w:numId w:val="1004"/>
        </w:numPr>
        <w:pStyle w:val="Compact"/>
      </w:pPr>
      <w:r>
        <w:t xml:space="preserve">A validated, sector-specific Professional Development Framework for Laboratory Technicians, emphasizing emerging technologies (e.g., bioinformatics literacy) and leadership skills.</w:t>
      </w:r>
    </w:p>
    <w:p>
      <w:pPr>
        <w:numPr>
          <w:ilvl w:val="0"/>
          <w:numId w:val="1004"/>
        </w:numPr>
        <w:pStyle w:val="Compact"/>
      </w:pPr>
      <w:r>
        <w:t xml:space="preserve">Recommendations for policy adjustments to Victorian training providers (e.g., TAFE curriculum updates), accreditation bodies (NATA), and employers on retention strategies (e.g., clear career ladders).</w:t>
      </w:r>
    </w:p>
    <w:p>
      <w:pPr>
        <w:numPr>
          <w:ilvl w:val="0"/>
          <w:numId w:val="1004"/>
        </w:numPr>
        <w:pStyle w:val="Compact"/>
      </w:pPr>
      <w:r>
        <w:t xml:space="preserve">A significant contribution to Australia's National Skills Strategy, particularly enhancing Victoria’s ability to build a resilient health and innovation workforce.</w:t>
      </w:r>
    </w:p>
    <w:bookmarkEnd w:id="26"/>
    <w:bookmarkStart w:id="27" w:name="conclusion"/>
    <w:p>
      <w:pPr>
        <w:pStyle w:val="Heading2"/>
      </w:pPr>
      <w:r>
        <w:t xml:space="preserve">8. Conclusion</w:t>
      </w:r>
    </w:p>
    <w:p>
      <w:pPr>
        <w:pStyle w:val="FirstParagraph"/>
      </w:pPr>
      <w:r>
        <w:t xml:space="preserve">The sustainability of Melbourne's position as a global leader in health and science hinges on a robust, adaptable Laboratory Technician workforce. This</w:t>
      </w:r>
      <w:r>
        <w:t xml:space="preserve"> </w:t>
      </w:r>
      <w:r>
        <w:rPr>
          <w:bCs/>
          <w:b/>
        </w:rPr>
        <w:t xml:space="preserve">Research Proposal</w:t>
      </w:r>
      <w:r>
        <w:t xml:space="preserve"> </w:t>
      </w:r>
      <w:r>
        <w:t xml:space="preserve">directly targets the critical need to understand, support, and future-proof this essential role within the specific context of</w:t>
      </w:r>
      <w:r>
        <w:t xml:space="preserve"> </w:t>
      </w:r>
      <w:r>
        <w:rPr>
          <w:bCs/>
          <w:b/>
        </w:rPr>
        <w:t xml:space="preserve">Australia Melbourne</w:t>
      </w:r>
      <w:r>
        <w:t xml:space="preserve">. By moving beyond generic national approaches and focusing on Melbourne’s unique ecosystem—its institutions, industries, and challenges—we will provide actionable solutions that enhance workforce capability, improve service delivery for Victorians, and strengthen Australia's competitive edge. The findings will be disseminated through academic journals (e.g.,</w:t>
      </w:r>
      <w:r>
        <w:t xml:space="preserve"> </w:t>
      </w:r>
      <w:r>
        <w:rPr>
          <w:iCs/>
          <w:i/>
        </w:rPr>
        <w:t xml:space="preserve">Australian Health Review</w:t>
      </w:r>
      <w:r>
        <w:t xml:space="preserve">), industry forums (e.g., Victorian Biotechnology Association events), and policy briefings to the Victorian Department of Health and Skills Victoria. Investing in this research is an investment in Melbourne’s health, economy, and scientific future.</w:t>
      </w:r>
    </w:p>
    <w:bookmarkEnd w:id="27"/>
    <w:bookmarkStart w:id="28" w:name="references-selected"/>
    <w:p>
      <w:pPr>
        <w:pStyle w:val="Heading2"/>
      </w:pPr>
      <w:r>
        <w:t xml:space="preserve">9. References (Selected)</w:t>
      </w:r>
    </w:p>
    <w:p>
      <w:pPr>
        <w:pStyle w:val="FirstParagraph"/>
      </w:pPr>
      <w:r>
        <w:t xml:space="preserve">Victorian Department of Health. (2023). *Workforce Plan for Victoria's Health Sector 2030*. Melbourne.</w:t>
      </w:r>
      <w:r>
        <w:br/>
      </w:r>
      <w:r>
        <w:t xml:space="preserve">Australian Commission on Safety and Quality in Healthcare (ACSM). (2020). *Laboratory Workforce Report*. Canberra.</w:t>
      </w:r>
      <w:r>
        <w:br/>
      </w:r>
      <w:r>
        <w:t xml:space="preserve">University of Melbourne School of Population and Global Health. (2023). *Health Service Workforce Retention in Victoria: A Preliminary Analysis*. Melbourne.</w:t>
      </w:r>
      <w:r>
        <w:br/>
      </w:r>
      <w:r>
        <w:t xml:space="preserve">WHO. (2021). *Global Laboratory Workforce Assessment Framework*.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for Laboratory Technicians in Melbourne, Australia</dc:title>
  <dc:creator/>
  <dc:language>en</dc:language>
  <cp:keywords/>
  <dcterms:created xsi:type="dcterms:W3CDTF">2026-07-19T19:10:00Z</dcterms:created>
  <dcterms:modified xsi:type="dcterms:W3CDTF">2026-07-19T19:10:00Z</dcterms:modified>
</cp:coreProperties>
</file>

<file path=docProps/custom.xml><?xml version="1.0" encoding="utf-8"?>
<Properties xmlns="http://schemas.openxmlformats.org/officeDocument/2006/custom-properties" xmlns:vt="http://schemas.openxmlformats.org/officeDocument/2006/docPropsVTypes"/>
</file>