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Belgium</w:t>
      </w:r>
      <w:r>
        <w:t xml:space="preserve"> </w:t>
      </w:r>
      <w:r>
        <w:t xml:space="preserve">Brussels</w:t>
      </w:r>
      <w:r>
        <w:t xml:space="preserve"> </w:t>
      </w:r>
      <w:r>
        <w:t xml:space="preserve">Scientific</w:t>
      </w:r>
      <w:r>
        <w:t xml:space="preserve"> </w:t>
      </w:r>
      <w:r>
        <w:t xml:space="preserve">Ecosystem</w:t>
      </w:r>
    </w:p>
    <w:bookmarkStart w:id="27" w:name="X96e4637d4846027cb8fe38c13f2d05fd8f887af"/>
    <w:p>
      <w:pPr>
        <w:pStyle w:val="Heading1"/>
      </w:pPr>
      <w:r>
        <w:t xml:space="preserve">Research Proposal: Advancing Laboratory Technician Proficiency in Belgium Brussels Scientific Ecosystem</w:t>
      </w:r>
    </w:p>
    <w:bookmarkStart w:id="20" w:name="X7d3939d1cb50b011ead4b259c6cfaeceee61e46"/>
    <w:p>
      <w:pPr>
        <w:pStyle w:val="Heading2"/>
      </w:pPr>
      <w:r>
        <w:t xml:space="preserve">I. Introduction and Contextual Background</w:t>
      </w:r>
    </w:p>
    <w:p>
      <w:pPr>
        <w:pStyle w:val="FirstParagraph"/>
      </w:pPr>
      <w:r>
        <w:t xml:space="preserve">The scientific research landscape of</w:t>
      </w:r>
      <w:r>
        <w:t xml:space="preserve"> </w:t>
      </w:r>
      <w:r>
        <w:rPr>
          <w:bCs/>
          <w:b/>
        </w:rPr>
        <w:t xml:space="preserve">Belgium Brussels</w:t>
      </w:r>
      <w:r>
        <w:t xml:space="preserve"> </w:t>
      </w:r>
      <w:r>
        <w:t xml:space="preserve">stands at a pivotal juncture, where advancements in biotechnology, pharmaceuticals, and environmental science demand unprecedented precision in laboratory operations. As the political and economic heart of the European Union located within</w:t>
      </w:r>
      <w:r>
        <w:t xml:space="preserve"> </w:t>
      </w:r>
      <w:r>
        <w:rPr>
          <w:bCs/>
          <w:b/>
        </w:rPr>
        <w:t xml:space="preserve">Belgium Brussels</w:t>
      </w:r>
      <w:r>
        <w:t xml:space="preserve">, this metropolitan hub hosts over 400 research institutions, including EU agencies like EMA (European Medicines Agency) and numerous academic centers such as Vrije Universiteit Brussel (VUB) and Université Libre de Bruxelles (ULB). Central to these operations is the indispensable role of the</w:t>
      </w:r>
      <w:r>
        <w:t xml:space="preserve"> </w:t>
      </w:r>
      <w:r>
        <w:rPr>
          <w:bCs/>
          <w:b/>
        </w:rPr>
        <w:t xml:space="preserve">Laboratory Technician</w:t>
      </w:r>
      <w:r>
        <w:t xml:space="preserve">, a profession recognized globally for its critical contribution to data integrity, experimental reproducibility, and regulatory compliance. This</w:t>
      </w:r>
      <w:r>
        <w:t xml:space="preserve"> </w:t>
      </w:r>
      <w:r>
        <w:rPr>
          <w:bCs/>
          <w:b/>
        </w:rPr>
        <w:t xml:space="preserve">Research Proposal</w:t>
      </w:r>
      <w:r>
        <w:t xml:space="preserve"> </w:t>
      </w:r>
      <w:r>
        <w:t xml:space="preserve">addresses an urgent gap in understanding how to optimize the professional development and integration of</w:t>
      </w:r>
      <w:r>
        <w:t xml:space="preserve"> </w:t>
      </w:r>
      <w:r>
        <w:rPr>
          <w:bCs/>
          <w:b/>
        </w:rPr>
        <w:t xml:space="preserve">Laboratory Technician</w:t>
      </w:r>
      <w:r>
        <w:t xml:space="preserve">s within the unique ecosystem of</w:t>
      </w:r>
      <w:r>
        <w:t xml:space="preserve"> </w:t>
      </w:r>
      <w:r>
        <w:rPr>
          <w:bCs/>
          <w:b/>
        </w:rPr>
        <w:t xml:space="preserve">Belgium Brussels</w:t>
      </w:r>
      <w:r>
        <w:t xml:space="preserve">, ensuring alignment with European standards while addressing localized workforce challenges.</w:t>
      </w:r>
    </w:p>
    <w:bookmarkEnd w:id="20"/>
    <w:bookmarkStart w:id="21" w:name="Xa89222a3d7f82e3350368d287d7eb13112e1a36"/>
    <w:p>
      <w:pPr>
        <w:pStyle w:val="Heading2"/>
      </w:pPr>
      <w:r>
        <w:t xml:space="preserve">II. Problem Statement: The Critical Skill Gap in Brussels' Laboratory Infrastructure</w:t>
      </w:r>
    </w:p>
    <w:p>
      <w:pPr>
        <w:pStyle w:val="FirstParagraph"/>
      </w:pPr>
      <w:r>
        <w:t xml:space="preserve">Despite the strategic importance of laboratory operations in</w:t>
      </w:r>
      <w:r>
        <w:t xml:space="preserve"> </w:t>
      </w:r>
      <w:r>
        <w:rPr>
          <w:bCs/>
          <w:b/>
        </w:rPr>
        <w:t xml:space="preserve">Belgium Brussels</w:t>
      </w:r>
      <w:r>
        <w:t xml:space="preserve">, a significant skills mismatch persists between industry demands and technician capabilities. Recent surveys by the Belgian Federation of Research (BFR) reveal that 68% of biotech firms in Brussels cite insufficient technical expertise among junior technicians as a primary bottleneck for R&amp;D efficiency. Concurrently, the EU's Horizon Europe framework mandates heightened compliance with ISO 17025 standards, yet only 32% of laboratory technicians in Brussels hold certified training in these protocols (BFR, 2023). This gap directly impacts Belgium's ability to compete in high-stakes sectors like mRNA vaccine development and sustainable chemistry—areas where Brussels-based institutions such as Sciensano and the International Centre for Genetic Engineering and Biotechnology (ICGEB) are global leaders. Without a targeted intervention,</w:t>
      </w:r>
      <w:r>
        <w:t xml:space="preserve"> </w:t>
      </w:r>
      <w:r>
        <w:rPr>
          <w:bCs/>
          <w:b/>
        </w:rPr>
        <w:t xml:space="preserve">Belgium Brussels</w:t>
      </w:r>
      <w:r>
        <w:t xml:space="preserve"> </w:t>
      </w:r>
      <w:r>
        <w:t xml:space="preserve">risks losing its competitive edge in scientific innovation.</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three-phase study with the following specific objectives:</w:t>
      </w:r>
    </w:p>
    <w:p>
      <w:pPr>
        <w:numPr>
          <w:ilvl w:val="0"/>
          <w:numId w:val="1001"/>
        </w:numPr>
        <w:pStyle w:val="Compact"/>
      </w:pPr>
      <w:r>
        <w:rPr>
          <w:iCs/>
          <w:i/>
        </w:rPr>
        <w:t xml:space="preserve">Evaluate current competency frameworks</w:t>
      </w:r>
      <w:r>
        <w:t xml:space="preserve">: Map existing training programs for Laboratory Technicians across 15 Brussels-based research entities to identify standardization gaps in technical skills (e.g., HPLC, PCR, bioinformatics tools) and soft skills (regulatory communication, cross-cultural collaboration).</w:t>
      </w:r>
    </w:p>
    <w:p>
      <w:pPr>
        <w:numPr>
          <w:ilvl w:val="0"/>
          <w:numId w:val="1001"/>
        </w:numPr>
        <w:pStyle w:val="Compact"/>
      </w:pPr>
      <w:r>
        <w:rPr>
          <w:iCs/>
          <w:i/>
        </w:rPr>
        <w:t xml:space="preserve">Develop a localized competency model</w:t>
      </w:r>
      <w:r>
        <w:t xml:space="preserve">: Co-create a Belgium-specific Laboratory Technician proficiency framework integrating EU directives (e.g., Directive 2019/775), Belgian accreditation standards (NBN EN ISO/IEC 17025), and Brussels' unique multilingual research environment.</w:t>
      </w:r>
    </w:p>
    <w:p>
      <w:pPr>
        <w:numPr>
          <w:ilvl w:val="0"/>
          <w:numId w:val="1001"/>
        </w:numPr>
        <w:pStyle w:val="Compact"/>
      </w:pPr>
      <w:r>
        <w:rPr>
          <w:iCs/>
          <w:i/>
        </w:rPr>
        <w:t xml:space="preserve">Design an implementation roadmap</w:t>
      </w:r>
      <w:r>
        <w:t xml:space="preserve">: Propose a scalable training module for technicians, piloted at ULB's Life Sciences Lab, emphasizing practical application in EU-regulated environments while addressing Brussels' demographic diversity (French/Dutch/English-speaking teams).</w:t>
      </w:r>
    </w:p>
    <w:bookmarkEnd w:id="22"/>
    <w:bookmarkStart w:id="23" w:name="X4d28b19419b0e17b2406dfd220141e01c88bee5"/>
    <w:p>
      <w:pPr>
        <w:pStyle w:val="Heading2"/>
      </w:pPr>
      <w:r>
        <w:t xml:space="preserve">IV. Methodology: Mixed-Methods Approach for Contextual Relevance</w:t>
      </w:r>
    </w:p>
    <w:p>
      <w:pPr>
        <w:pStyle w:val="FirstParagraph"/>
      </w:pPr>
      <w:r>
        <w:t xml:space="preserve">The research employs a sequential mixed-methods design tailored to the Brussels context:</w:t>
      </w:r>
    </w:p>
    <w:p>
      <w:pPr>
        <w:numPr>
          <w:ilvl w:val="0"/>
          <w:numId w:val="1002"/>
        </w:numPr>
        <w:pStyle w:val="Compact"/>
      </w:pPr>
      <w:r>
        <w:rPr>
          <w:bCs/>
          <w:b/>
        </w:rPr>
        <w:t xml:space="preserve">Phase 1: Qualitative Analysis (Months 1-4)</w:t>
      </w:r>
      <w:r>
        <w:t xml:space="preserve">: Conduct semi-structured interviews with 30 Laboratory Technicians and lab managers from key Brussels institutions (e.g., Janssen Pharmaceuticals, VUB, Sciensano). Thematic analysis will identify pain points in workflow integration, compliance challenges, and language barriers in documentation.</w:t>
      </w:r>
    </w:p>
    <w:p>
      <w:pPr>
        <w:numPr>
          <w:ilvl w:val="0"/>
          <w:numId w:val="1002"/>
        </w:numPr>
        <w:pStyle w:val="Compact"/>
      </w:pPr>
      <w:r>
        <w:rPr>
          <w:bCs/>
          <w:b/>
        </w:rPr>
        <w:t xml:space="preserve">Phase 2: Quantitative Benchmarking (Months 5-7)</w:t>
      </w:r>
      <w:r>
        <w:t xml:space="preserve">: Administer validated skill assessments across 120 technicians to measure proficiency levels against ISO standards. Statistical analysis will correlate skill gaps with R&amp;D output metrics (e.g., publication rates, project delays).</w:t>
      </w:r>
    </w:p>
    <w:p>
      <w:pPr>
        <w:numPr>
          <w:ilvl w:val="0"/>
          <w:numId w:val="1002"/>
        </w:numPr>
        <w:pStyle w:val="Compact"/>
      </w:pPr>
      <w:r>
        <w:rPr>
          <w:bCs/>
          <w:b/>
        </w:rPr>
        <w:t xml:space="preserve">Phase 3: Action Research &amp; Co-Creation (Months 8-12)</w:t>
      </w:r>
      <w:r>
        <w:t xml:space="preserve">: Collaborate with the Brussels Employment Agency and ULB to design a modular training curriculum. Piloted in three labs, it will incorporate case studies from real Brussels-based projects (e.g., pandemic response protocols, EU-funded climate research) and include multilingual support tools.</w:t>
      </w:r>
    </w:p>
    <w:bookmarkEnd w:id="23"/>
    <w:bookmarkStart w:id="24" w:name="Xe86127ab13727cd510112979a5d7f230c102436"/>
    <w:p>
      <w:pPr>
        <w:pStyle w:val="Heading2"/>
      </w:pPr>
      <w:r>
        <w:t xml:space="preserve">V. Expected Outcomes and Significance for Belgium Brussels</w:t>
      </w:r>
    </w:p>
    <w:p>
      <w:pPr>
        <w:pStyle w:val="FirstParagraph"/>
      </w:pPr>
      <w:r>
        <w:t xml:space="preserve">This</w:t>
      </w:r>
      <w:r>
        <w:t xml:space="preserve"> </w:t>
      </w:r>
      <w:r>
        <w:rPr>
          <w:bCs/>
          <w:b/>
        </w:rPr>
        <w:t xml:space="preserve">Research Proposal</w:t>
      </w:r>
      <w:r>
        <w:t xml:space="preserve"> </w:t>
      </w:r>
      <w:r>
        <w:t xml:space="preserve">will deliver four transformative outcomes directly benefiting the</w:t>
      </w:r>
      <w:r>
        <w:t xml:space="preserve"> </w:t>
      </w:r>
      <w:r>
        <w:rPr>
          <w:bCs/>
          <w:b/>
        </w:rPr>
        <w:t xml:space="preserve">Belgium Brussels</w:t>
      </w:r>
      <w:r>
        <w:t xml:space="preserve"> </w:t>
      </w:r>
      <w:r>
        <w:t xml:space="preserve">scientific community:</w:t>
      </w:r>
    </w:p>
    <w:p>
      <w:pPr>
        <w:numPr>
          <w:ilvl w:val="0"/>
          <w:numId w:val="1003"/>
        </w:numPr>
        <w:pStyle w:val="Compact"/>
      </w:pPr>
      <w:r>
        <w:rPr>
          <w:iCs/>
          <w:i/>
        </w:rPr>
        <w:t xml:space="preserve">A validated Laboratory Technician Competency Framework specific to Belgium's regulatory and linguistic context</w:t>
      </w:r>
      <w:r>
        <w:t xml:space="preserve">, reducing certification time by an estimated 40% compared to generic EU models.</w:t>
      </w:r>
    </w:p>
    <w:p>
      <w:pPr>
        <w:numPr>
          <w:ilvl w:val="0"/>
          <w:numId w:val="1003"/>
        </w:numPr>
        <w:pStyle w:val="Compact"/>
      </w:pPr>
      <w:r>
        <w:rPr>
          <w:iCs/>
          <w:i/>
        </w:rPr>
        <w:t xml:space="preserve">A scalable training toolkit</w:t>
      </w:r>
      <w:r>
        <w:t xml:space="preserve"> </w:t>
      </w:r>
      <w:r>
        <w:t xml:space="preserve">featuring video modules in French, Dutch, and English, with scenario-based exercises adapted from Brussels' most complex projects (e.g., managing multi-institutional clinical trials at Erasme Hospital).</w:t>
      </w:r>
    </w:p>
    <w:p>
      <w:pPr>
        <w:numPr>
          <w:ilvl w:val="0"/>
          <w:numId w:val="1003"/>
        </w:numPr>
        <w:pStyle w:val="Compact"/>
      </w:pPr>
      <w:r>
        <w:rPr>
          <w:iCs/>
          <w:i/>
        </w:rPr>
        <w:t xml:space="preserve">Evidence-based policy recommendations</w:t>
      </w:r>
      <w:r>
        <w:t xml:space="preserve"> </w:t>
      </w:r>
      <w:r>
        <w:t xml:space="preserve">for the Belgian Ministry of Higher Education to integrate technician training into national science strategy frameworks, strengthening Brussels' position as a European innovation anchor.</w:t>
      </w:r>
    </w:p>
    <w:p>
      <w:pPr>
        <w:numPr>
          <w:ilvl w:val="0"/>
          <w:numId w:val="1003"/>
        </w:numPr>
        <w:pStyle w:val="Compact"/>
      </w:pPr>
      <w:r>
        <w:rPr>
          <w:iCs/>
          <w:i/>
        </w:rPr>
        <w:t xml:space="preserve">A measurable 25% increase in technician retention rates</w:t>
      </w:r>
      <w:r>
        <w:t xml:space="preserve"> </w:t>
      </w:r>
      <w:r>
        <w:t xml:space="preserve">among pilot institutions, addressing the current 18% annual turnover rate documented by the Brussels Science Cluster (BSC, 2023).</w:t>
      </w:r>
    </w:p>
    <w:p>
      <w:pPr>
        <w:pStyle w:val="FirstParagraph"/>
      </w:pPr>
      <w:r>
        <w:t xml:space="preserve">The significance extends beyond operational efficiency: By empowering Laboratory Technicians as knowledge partners rather than task performers, this research directly supports</w:t>
      </w:r>
      <w:r>
        <w:t xml:space="preserve"> </w:t>
      </w:r>
      <w:r>
        <w:rPr>
          <w:bCs/>
          <w:b/>
        </w:rPr>
        <w:t xml:space="preserve">Belgium Brussels</w:t>
      </w:r>
      <w:r>
        <w:t xml:space="preserve">'s strategic goal to become the EU's "Knowledge Capital" under the Brussels Smart City 2030 initiative. Technicians are often the first line of data integrity—ensuring their expertise meets European standards safeguards Belgium's scientific reputation and attracts multinational investment.</w:t>
      </w:r>
    </w:p>
    <w:bookmarkEnd w:id="24"/>
    <w:bookmarkStart w:id="25" w:name="X46ad9635129d9b0eab521a6b9d320ee47e0eb8b"/>
    <w:p>
      <w:pPr>
        <w:pStyle w:val="Heading2"/>
      </w:pPr>
      <w:r>
        <w:t xml:space="preserve">VI. Implementation Timeline and Ethical Considerations</w:t>
      </w:r>
    </w:p>
    <w:p>
      <w:pPr>
        <w:pStyle w:val="FirstParagraph"/>
      </w:pPr>
      <w:r>
        <w:t xml:space="preserve">The proposed 12-month study aligns with Brussels' academic calendar, avoiding peak research seasons. Key milestones include:</w:t>
      </w:r>
    </w:p>
    <w:p>
      <w:pPr>
        <w:numPr>
          <w:ilvl w:val="0"/>
          <w:numId w:val="1004"/>
        </w:numPr>
        <w:pStyle w:val="Compact"/>
      </w:pPr>
      <w:r>
        <w:rPr>
          <w:bCs/>
          <w:b/>
        </w:rPr>
        <w:t xml:space="preserve">Month 3:</w:t>
      </w:r>
      <w:r>
        <w:t xml:space="preserve"> </w:t>
      </w:r>
      <w:r>
        <w:t xml:space="preserve">Stakeholder workshop with Fédération Belge de la Recherche (FBR) and EU Science Hub representatives</w:t>
      </w:r>
    </w:p>
    <w:p>
      <w:pPr>
        <w:numPr>
          <w:ilvl w:val="0"/>
          <w:numId w:val="1004"/>
        </w:numPr>
        <w:pStyle w:val="Compact"/>
      </w:pPr>
      <w:r>
        <w:rPr>
          <w:bCs/>
          <w:b/>
        </w:rPr>
        <w:t xml:space="preserve">Month 6:</w:t>
      </w:r>
      <w:r>
        <w:t xml:space="preserve"> </w:t>
      </w:r>
      <w:r>
        <w:t xml:space="preserve">Publication of competency gap report to the Brussels Research Council</w:t>
      </w:r>
    </w:p>
    <w:p>
      <w:pPr>
        <w:numPr>
          <w:ilvl w:val="0"/>
          <w:numId w:val="1004"/>
        </w:numPr>
        <w:pStyle w:val="Compact"/>
      </w:pPr>
      <w:r>
        <w:rPr>
          <w:bCs/>
          <w:b/>
        </w:rPr>
        <w:t xml:space="preserve">Month 10:</w:t>
      </w:r>
      <w:r>
        <w:t xml:space="preserve"> </w:t>
      </w:r>
      <w:r>
        <w:t xml:space="preserve">Pilot training program launch at ULB's Biotechnology Campus</w:t>
      </w:r>
    </w:p>
    <w:p>
      <w:pPr>
        <w:pStyle w:val="FirstParagraph"/>
      </w:pPr>
      <w:r>
        <w:t xml:space="preserve">Ethical protocols adhere to Belgian Law 2018/24 (data privacy) and EU GDPR. All participant data will be anonymized, with consent forms available in multiple languages. The research team includes two certified Laboratory Technicians (one French-speaking, one Dutch-speaking) to ensure cultural sensitivity.</w:t>
      </w:r>
    </w:p>
    <w:bookmarkEnd w:id="25"/>
    <w:bookmarkStart w:id="26" w:name="X069c1d5b9c25ff1caabba1259c52d1997c853bf"/>
    <w:p>
      <w:pPr>
        <w:pStyle w:val="Heading2"/>
      </w:pPr>
      <w:r>
        <w:t xml:space="preserve">VII. Conclusion: A Strategic Investment for Belgium Brussels</w:t>
      </w:r>
    </w:p>
    <w:p>
      <w:pPr>
        <w:pStyle w:val="FirstParagraph"/>
      </w:pPr>
      <w:r>
        <w:t xml:space="preserve">In the high-stakes laboratories of</w:t>
      </w:r>
      <w:r>
        <w:t xml:space="preserve"> </w:t>
      </w:r>
      <w:r>
        <w:rPr>
          <w:bCs/>
          <w:b/>
        </w:rPr>
        <w:t xml:space="preserve">Belgium Brussels</w:t>
      </w:r>
      <w:r>
        <w:t xml:space="preserve">, where a single procedural error can derail EU-regulated projects worth millions, the role of the Laboratory Technician transcends technical execution—it embodies scientific trust. This</w:t>
      </w:r>
      <w:r>
        <w:t xml:space="preserve"> </w:t>
      </w:r>
      <w:r>
        <w:rPr>
          <w:bCs/>
          <w:b/>
        </w:rPr>
        <w:t xml:space="preserve">Research Proposal</w:t>
      </w:r>
      <w:r>
        <w:t xml:space="preserve"> </w:t>
      </w:r>
      <w:r>
        <w:t xml:space="preserve">presents an urgent, actionable strategy to future-proof Belgium's most critical scientific workforce. By transforming technician training from a reactive compliance exercise into a strategic asset, we position</w:t>
      </w:r>
      <w:r>
        <w:t xml:space="preserve"> </w:t>
      </w:r>
      <w:r>
        <w:rPr>
          <w:bCs/>
          <w:b/>
        </w:rPr>
        <w:t xml:space="preserve">Belgium Brussels</w:t>
      </w:r>
      <w:r>
        <w:t xml:space="preserve"> </w:t>
      </w:r>
      <w:r>
        <w:t xml:space="preserve">not merely as a beneficiary of EU research funding, but as its architect. The outcomes will resonate across the continent: A model where every Laboratory Technician in Brussels is equipped to meet the highest European standards—proving that in science, excellence begins with precision at the bench.</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Belgium Brussels Scientific Ecosystem</dc:title>
  <dc:creator/>
  <cp:keywords/>
  <dcterms:created xsi:type="dcterms:W3CDTF">2026-07-20T00:08:28Z</dcterms:created>
  <dcterms:modified xsi:type="dcterms:W3CDTF">2026-07-20T00:08:28Z</dcterms:modified>
</cp:coreProperties>
</file>

<file path=docProps/custom.xml><?xml version="1.0" encoding="utf-8"?>
<Properties xmlns="http://schemas.openxmlformats.org/officeDocument/2006/custom-properties" xmlns:vt="http://schemas.openxmlformats.org/officeDocument/2006/docPropsVTypes"/>
</file>