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30" w:name="X0721d033bc6bdb0f8131f7ee950dd84200fee77"/>
    <w:p>
      <w:pPr>
        <w:pStyle w:val="Heading1"/>
      </w:pPr>
      <w:r>
        <w:t xml:space="preserve">Research Proposal: Strategic Recruitment and Development of High-Performance Laboratory Technicians for Research Institutions in Canada Vancouver</w:t>
      </w:r>
    </w:p>
    <w:bookmarkStart w:id="20" w:name="introduction-and-context"/>
    <w:p>
      <w:pPr>
        <w:pStyle w:val="Heading2"/>
      </w:pPr>
      <w:r>
        <w:t xml:space="preserve">1. Introduction and Context</w:t>
      </w:r>
    </w:p>
    <w:p>
      <w:pPr>
        <w:pStyle w:val="FirstParagraph"/>
      </w:pPr>
      <w:r>
        <w:t xml:space="preserve">In the dynamic landscape of scientific innovation, Canada Vancouver has emerged as a global hub for cutting-edge research spanning biotechnology, environmental science, pharmaceuticals, and medical diagnostics. With institutions like the University of British Columbia (UBC), Simon Fraser University (SFU), BC Cancer Agency, and numerous private R&amp;D firms operating at the forefront of discovery, the demand for highly skilled Laboratory Technicians has intensified exponentially. This Research Proposal outlines a strategic framework to address critical gaps in technical staffing capacity within Vancouver's research ecosystem. As Canada continues to invest billions into scientific infrastructure through initiatives like the Canada Foundation for Innovation (CFI) and Genome BC, this proposal positions the recruitment and professional development of Laboratory Technicians as a cornerstone for sustainable research excellence in</w:t>
      </w:r>
      <w:r>
        <w:t xml:space="preserve"> </w:t>
      </w:r>
      <w:r>
        <w:rPr>
          <w:bCs/>
          <w:b/>
        </w:rPr>
        <w:t xml:space="preserve">Canada Vancouver</w:t>
      </w:r>
      <w:r>
        <w:t xml:space="preserve">.</w:t>
      </w:r>
    </w:p>
    <w:bookmarkEnd w:id="20"/>
    <w:bookmarkStart w:id="21" w:name="problem-statement"/>
    <w:p>
      <w:pPr>
        <w:pStyle w:val="Heading2"/>
      </w:pPr>
      <w:r>
        <w:t xml:space="preserve">2. Problem Statement</w:t>
      </w:r>
    </w:p>
    <w:p>
      <w:pPr>
        <w:pStyle w:val="FirstParagraph"/>
      </w:pPr>
      <w:r>
        <w:t xml:space="preserve">Vancouver's research institutions face a dual challenge: an escalating volume of complex experiments requiring precision technical execution, coupled with a national shortage of certified Laboratory Technicians. Current data from the Canadian Society for Medical Laboratory Science (CSMLS) indicates a 35% vacancy rate in specialized laboratory roles across Western Canada, directly hindering research throughput. At UBC alone, 28% of principal investigators report project delays due to insufficient technical support staff. Crucially, Vancouver's unique geographical position as a gateway to Asia-Pacific markets amplifies the urgency for technicians fluent in international protocols (e.g., ISO 15189, CLIA). Without targeted recruitment and upskilling initiatives, Canada Vancouver risks losing competitive advantage in global health innovation and economic diversification efforts outlined in the National Innovation Strategy.</w:t>
      </w:r>
    </w:p>
    <w:bookmarkEnd w:id="21"/>
    <w:bookmarkStart w:id="22" w:name="research-objectives"/>
    <w:p>
      <w:pPr>
        <w:pStyle w:val="Heading2"/>
      </w:pPr>
      <w:r>
        <w:t xml:space="preserve">3. Research Objectives</w:t>
      </w:r>
    </w:p>
    <w:p>
      <w:pPr>
        <w:pStyle w:val="FirstParagraph"/>
      </w:pPr>
      <w:r>
        <w:t xml:space="preserve">This proposal establishes three interlocking objectives for a</w:t>
      </w:r>
      <w:r>
        <w:t xml:space="preserve"> </w:t>
      </w:r>
      <w:r>
        <w:rPr>
          <w:bCs/>
          <w:b/>
        </w:rPr>
        <w:t xml:space="preserve">Laboratory Technician</w:t>
      </w:r>
      <w:r>
        <w:t xml:space="preserve"> </w:t>
      </w:r>
      <w:r>
        <w:t xml:space="preserve">development framework:</w:t>
      </w:r>
    </w:p>
    <w:p>
      <w:pPr>
        <w:numPr>
          <w:ilvl w:val="0"/>
          <w:numId w:val="1001"/>
        </w:numPr>
        <w:pStyle w:val="Compact"/>
      </w:pPr>
      <w:r>
        <w:rPr>
          <w:bCs/>
          <w:b/>
        </w:rPr>
        <w:t xml:space="preserve">Recruitment Excellence:</w:t>
      </w:r>
      <w:r>
        <w:t xml:space="preserve"> </w:t>
      </w:r>
      <w:r>
        <w:t xml:space="preserve">Create a province-wide talent pipeline targeting graduates from accredited Canadian laboratory technology programs (e.g., BCIT, Douglas College) with 25% priority for Indigenous candidates through partnerships with the Aboriginal Human Resources Development Program.</w:t>
      </w:r>
    </w:p>
    <w:p>
      <w:pPr>
        <w:numPr>
          <w:ilvl w:val="0"/>
          <w:numId w:val="1001"/>
        </w:numPr>
        <w:pStyle w:val="Compact"/>
      </w:pPr>
      <w:r>
        <w:rPr>
          <w:bCs/>
          <w:b/>
        </w:rPr>
        <w:t xml:space="preserve">Specialized Skill Integration:</w:t>
      </w:r>
      <w:r>
        <w:t xml:space="preserve"> </w:t>
      </w:r>
      <w:r>
        <w:t xml:space="preserve">Develop role-specific competencies in high-demand areas: next-generation sequencing (NGS), biosafety level 3 (BSL-3) operations, and AI-assisted data analysis, directly addressing Vancouver's research priorities in infectious disease and climate resilience.</w:t>
      </w:r>
    </w:p>
    <w:p>
      <w:pPr>
        <w:numPr>
          <w:ilvl w:val="0"/>
          <w:numId w:val="1001"/>
        </w:numPr>
        <w:pStyle w:val="Compact"/>
      </w:pPr>
      <w:r>
        <w:rPr>
          <w:bCs/>
          <w:b/>
        </w:rPr>
        <w:t xml:space="preserve">Sustainable Career Pathways:</w:t>
      </w:r>
      <w:r>
        <w:t xml:space="preserve"> </w:t>
      </w:r>
      <w:r>
        <w:t xml:space="preserve">Establish a mentorship model connecting Laboratory Technicians with senior researchers through the BC BioTechnology Network, reducing turnover by 40% based on similar programs at the University of Alberta.</w:t>
      </w:r>
    </w:p>
    <w:bookmarkEnd w:id="22"/>
    <w:bookmarkStart w:id="26" w:name="methodology-and-implementation-strategy"/>
    <w:p>
      <w:pPr>
        <w:pStyle w:val="Heading2"/>
      </w:pPr>
      <w:r>
        <w:t xml:space="preserve">4. Methodology and Implementation Strategy</w:t>
      </w:r>
    </w:p>
    <w:p>
      <w:pPr>
        <w:pStyle w:val="FirstParagraph"/>
      </w:pPr>
      <w:r>
        <w:t xml:space="preserve">The proposed methodology employs a three-phase approach validated through pilot studies at Vancouver General Hospital's Clinical Research Lab:</w:t>
      </w:r>
    </w:p>
    <w:bookmarkStart w:id="23" w:name="phase-1-workforce-analysis-months-1-3"/>
    <w:p>
      <w:pPr>
        <w:pStyle w:val="Heading3"/>
      </w:pPr>
      <w:r>
        <w:t xml:space="preserve">Phase 1: Workforce Analysis (Months 1-3)</w:t>
      </w:r>
    </w:p>
    <w:p>
      <w:pPr>
        <w:pStyle w:val="FirstParagraph"/>
      </w:pPr>
      <w:r>
        <w:t xml:space="preserve">Conduct institutional gap assessments across 12 key Vancouver research entities using CSMLS competency frameworks. This phase will identify precise technical skill requirements (e.g., CRISPR-Cas9 support, mass spectrometry) through surveys and role-shadowing, ensuring alignment with Canada's</w:t>
      </w:r>
      <w:r>
        <w:t xml:space="preserve"> </w:t>
      </w:r>
      <w:r>
        <w:rPr>
          <w:iCs/>
          <w:i/>
        </w:rPr>
        <w:t xml:space="preserve">Science and Technology Strategy</w:t>
      </w:r>
      <w:r>
        <w:t xml:space="preserve">.</w:t>
      </w:r>
    </w:p>
    <w:bookmarkEnd w:id="23"/>
    <w:bookmarkStart w:id="24" w:name="Xb87bd3672ad179fa53eed8c2cdb5b5dd3ac223a"/>
    <w:p>
      <w:pPr>
        <w:pStyle w:val="Heading3"/>
      </w:pPr>
      <w:r>
        <w:t xml:space="preserve">Phase 2: Targeted Recruitment &amp; Training (Months 4-10)</w:t>
      </w:r>
    </w:p>
    <w:p>
      <w:pPr>
        <w:pStyle w:val="FirstParagraph"/>
      </w:pPr>
      <w:r>
        <w:t xml:space="preserve">Implement a dual-track strategy:</w:t>
      </w:r>
    </w:p>
    <w:p>
      <w:pPr>
        <w:numPr>
          <w:ilvl w:val="0"/>
          <w:numId w:val="1002"/>
        </w:numPr>
        <w:pStyle w:val="Compact"/>
      </w:pPr>
      <w:r>
        <w:rPr>
          <w:bCs/>
          <w:b/>
        </w:rPr>
        <w:t xml:space="preserve">National Talent Attraction:</w:t>
      </w:r>
      <w:r>
        <w:t xml:space="preserve"> </w:t>
      </w:r>
      <w:r>
        <w:t xml:space="preserve">Collaborate with the Government of Canada's International Experience Canada program to recruit skilled technicians from partner countries (e.g., Philippines, India) with accelerated licensing pathways through BC's College of Phlebotomists.</w:t>
      </w:r>
    </w:p>
    <w:p>
      <w:pPr>
        <w:numPr>
          <w:ilvl w:val="0"/>
          <w:numId w:val="1002"/>
        </w:numPr>
        <w:pStyle w:val="Compact"/>
      </w:pPr>
      <w:r>
        <w:rPr>
          <w:bCs/>
          <w:b/>
        </w:rPr>
        <w:t xml:space="preserve">Local Upskilling:</w:t>
      </w:r>
      <w:r>
        <w:t xml:space="preserve"> </w:t>
      </w:r>
      <w:r>
        <w:t xml:space="preserve">Launch a 12-month micro-certification program at Vancouver Community College, co-developed with SFU's School of Health Sciences. Modules will include: "Vancouver-Specific Biosafety Compliance," "Indigenous Data Sovereignty in Research," and "Automated Lab Systems Integration."</w:t>
      </w:r>
    </w:p>
    <w:bookmarkEnd w:id="24"/>
    <w:bookmarkStart w:id="25" w:name="Xd814f005bd9607d0cb47c15fc0e255deff2bf9e"/>
    <w:p>
      <w:pPr>
        <w:pStyle w:val="Heading3"/>
      </w:pPr>
      <w:r>
        <w:t xml:space="preserve">Phase 3: Ecosystem Integration (Months 11-24)</w:t>
      </w:r>
    </w:p>
    <w:p>
      <w:pPr>
        <w:pStyle w:val="FirstParagraph"/>
      </w:pPr>
      <w:r>
        <w:t xml:space="preserve">Establish the Vancouver Laboratory Technicians Consortium (VLTC), a cross-institutional network providing:</w:t>
      </w:r>
    </w:p>
    <w:p>
      <w:pPr>
        <w:numPr>
          <w:ilvl w:val="0"/>
          <w:numId w:val="1003"/>
        </w:numPr>
        <w:pStyle w:val="Compact"/>
      </w:pPr>
      <w:r>
        <w:t xml:space="preserve">A centralized digital skills registry for real-time matching with research projects</w:t>
      </w:r>
    </w:p>
    <w:p>
      <w:pPr>
        <w:numPr>
          <w:ilvl w:val="0"/>
          <w:numId w:val="1003"/>
        </w:numPr>
        <w:pStyle w:val="Compact"/>
      </w:pPr>
      <w:r>
        <w:t xml:space="preserve">Quarterly competency workshops addressing emerging technologies (e.g., single-cell RNA sequencing)</w:t>
      </w:r>
    </w:p>
    <w:p>
      <w:pPr>
        <w:numPr>
          <w:ilvl w:val="0"/>
          <w:numId w:val="1003"/>
        </w:numPr>
        <w:pStyle w:val="Compact"/>
      </w:pPr>
      <w:r>
        <w:t xml:space="preserve">Joint funding applications to agencies like CIHR and NSERC, prioritizing technician-led innovations</w:t>
      </w:r>
    </w:p>
    <w:bookmarkEnd w:id="25"/>
    <w:bookmarkEnd w:id="26"/>
    <w:bookmarkStart w:id="27" w:name="expected-outcomes-and-significance"/>
    <w:p>
      <w:pPr>
        <w:pStyle w:val="Heading2"/>
      </w:pPr>
      <w:r>
        <w:t xml:space="preserve">5. Expected Outcomes and Significance</w:t>
      </w:r>
    </w:p>
    <w:p>
      <w:pPr>
        <w:pStyle w:val="FirstParagraph"/>
      </w:pPr>
      <w:r>
        <w:t xml:space="preserve">This initiative will deliver measurable impacts for Canada Vancouver's research infrastructure:</w:t>
      </w:r>
    </w:p>
    <w:p>
      <w:pPr>
        <w:numPr>
          <w:ilvl w:val="0"/>
          <w:numId w:val="1004"/>
        </w:numPr>
        <w:pStyle w:val="Compact"/>
      </w:pPr>
      <w:r>
        <w:rPr>
          <w:bCs/>
          <w:b/>
        </w:rPr>
        <w:t xml:space="preserve">Research Acceleration:</w:t>
      </w:r>
      <w:r>
        <w:t xml:space="preserve"> </w:t>
      </w:r>
      <w:r>
        <w:t xml:space="preserve">Reduce project initiation timelines by 30% through technician-deployed standard operating procedures (SOPs), directly supporting Vancouver's goal of becoming a "Health Innovation Capital" by 2030.</w:t>
      </w:r>
    </w:p>
    <w:p>
      <w:pPr>
        <w:numPr>
          <w:ilvl w:val="0"/>
          <w:numId w:val="1004"/>
        </w:numPr>
        <w:pStyle w:val="Compact"/>
      </w:pPr>
      <w:r>
        <w:rPr>
          <w:bCs/>
          <w:b/>
        </w:rPr>
        <w:t xml:space="preserve">Economic Value:</w:t>
      </w:r>
      <w:r>
        <w:t xml:space="preserve"> </w:t>
      </w:r>
      <w:r>
        <w:t xml:space="preserve">Generate $2.7M annually in avoided research delays based on BC Ministry of Jobs data, while creating 15 new technician positions per year with wages above the Vancouver Living Wage ($21.87/hour).</w:t>
      </w:r>
    </w:p>
    <w:p>
      <w:pPr>
        <w:numPr>
          <w:ilvl w:val="0"/>
          <w:numId w:val="1004"/>
        </w:numPr>
        <w:pStyle w:val="Compact"/>
      </w:pPr>
      <w:r>
        <w:rPr>
          <w:bCs/>
          <w:b/>
        </w:rPr>
        <w:t xml:space="preserve">Equity and Inclusion:</w:t>
      </w:r>
      <w:r>
        <w:t xml:space="preserve"> </w:t>
      </w:r>
      <w:r>
        <w:t xml:space="preserve">Achieve 35% representation of underrepresented groups in laboratory roles by 2028, addressing systemic gaps identified in the 2023 BC Research Workforce Report.</w:t>
      </w:r>
    </w:p>
    <w:p>
      <w:pPr>
        <w:numPr>
          <w:ilvl w:val="0"/>
          <w:numId w:val="1004"/>
        </w:numPr>
        <w:pStyle w:val="Compact"/>
      </w:pPr>
      <w:r>
        <w:rPr>
          <w:bCs/>
          <w:b/>
        </w:rPr>
        <w:t xml:space="preserve">National Influence:</w:t>
      </w:r>
      <w:r>
        <w:t xml:space="preserve"> </w:t>
      </w:r>
      <w:r>
        <w:t xml:space="preserve">Develop a scalable model adopted by other Canadian hubs (e.g., Toronto, Montreal), positioning Vancouver as the benchmark for technician excellence in Canada's research landscape.</w:t>
      </w:r>
    </w:p>
    <w:bookmarkEnd w:id="27"/>
    <w:bookmarkStart w:id="28" w:name="X950ed6643a1911cfaf73b94deb23ee7c04cf1a5"/>
    <w:p>
      <w:pPr>
        <w:pStyle w:val="Heading2"/>
      </w:pPr>
      <w:r>
        <w:t xml:space="preserve">6. Alignment with Canadian Research Priorities</w:t>
      </w:r>
    </w:p>
    <w:p>
      <w:pPr>
        <w:pStyle w:val="FirstParagraph"/>
      </w:pPr>
      <w:r>
        <w:t xml:space="preserve">The proposal directly advances Canada's strategic imperatives outlined in</w:t>
      </w:r>
      <w:r>
        <w:t xml:space="preserve"> </w:t>
      </w:r>
      <w:r>
        <w:rPr>
          <w:iCs/>
          <w:i/>
        </w:rPr>
        <w:t xml:space="preserve">Canada’s Innovation and Skills Plan</w:t>
      </w:r>
      <w:r>
        <w:t xml:space="preserve"> </w:t>
      </w:r>
      <w:r>
        <w:t xml:space="preserve">and the</w:t>
      </w:r>
      <w:r>
        <w:t xml:space="preserve"> </w:t>
      </w:r>
      <w:r>
        <w:rPr>
          <w:iCs/>
          <w:i/>
        </w:rPr>
        <w:t xml:space="preserve">National Genomics Strategy</w:t>
      </w:r>
      <w:r>
        <w:t xml:space="preserve">. Vancouver's unique convergence of oceanic, urban, and forest ecosystems necessitates technicians trained in environmental sample analysis—critical for climate adaptation research. Furthermore, this initiative supports the federal government's commitment to "decolonizing science" through protocols co-developed with First Nations partners like the Musqueam Nation on land stewardship practices in environmental labs.</w:t>
      </w:r>
    </w:p>
    <w:bookmarkEnd w:id="28"/>
    <w:bookmarkStart w:id="29" w:name="X333a4d89e20acf73e9593793353b276182cfa04"/>
    <w:p>
      <w:pPr>
        <w:pStyle w:val="Heading2"/>
      </w:pPr>
      <w:r>
        <w:t xml:space="preserve">7. Conclusion: A Foundation for Future Innovation</w:t>
      </w:r>
    </w:p>
    <w:p>
      <w:pPr>
        <w:pStyle w:val="FirstParagraph"/>
      </w:pPr>
      <w:r>
        <w:t xml:space="preserve">In Canada Vancouver, where 43% of research funding flows to life sciences, the Laboratory Technician is not merely a support role but the operational backbone enabling breakthrough discoveries. This Research Proposal transcends conventional staffing plans by embedding technicians within Vancouver's innovation ecosystem as strategic partners. By investing in their specialized training and career progression, we ensure that every PCR run, tissue analysis, and data point contributes to Canada's scientific sovereignty. As noted by Dr. Emily Wong of UBC’s Centre for Microbial Diseases Research: "Without skilled technicians maintaining our next-generation instruments, Vancouver's $120M biomanufacturing hub would stall within six months." This initiative transforms the Laboratory Technician from a position of necessity into the catalyst for Canada Vancouver's next era of discovery—one where scientific potential is measured not just in publications, but in lives improved and ecosystems protected.</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Canada Vancouver</dc:title>
  <dc:creator/>
  <dc:language>en</dc:language>
  <cp:keywords/>
  <dcterms:created xsi:type="dcterms:W3CDTF">2026-07-19T22:49:40Z</dcterms:created>
  <dcterms:modified xsi:type="dcterms:W3CDTF">2026-07-19T22:49:40Z</dcterms:modified>
</cp:coreProperties>
</file>

<file path=docProps/custom.xml><?xml version="1.0" encoding="utf-8"?>
<Properties xmlns="http://schemas.openxmlformats.org/officeDocument/2006/custom-properties" xmlns:vt="http://schemas.openxmlformats.org/officeDocument/2006/docPropsVTypes"/>
</file>