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Berlin,</w:t>
      </w:r>
      <w:r>
        <w:t xml:space="preserve"> </w:t>
      </w:r>
      <w:r>
        <w:t xml:space="preserve">Germany</w:t>
      </w:r>
    </w:p>
    <w:bookmarkStart w:id="31" w:name="X7ff4fe49c0f584742891cd3760376e01b1e93d9"/>
    <w:p>
      <w:pPr>
        <w:pStyle w:val="Heading1"/>
      </w:pPr>
      <w:r>
        <w:t xml:space="preserve">Research Proposal: Enhancing Professional Competencies and Integration of Laboratory Technicians in Berlin's Scientific Ecosystem, Germany</w:t>
      </w:r>
    </w:p>
    <w:bookmarkStart w:id="20" w:name="introduction"/>
    <w:p>
      <w:pPr>
        <w:pStyle w:val="Heading2"/>
      </w:pPr>
      <w:r>
        <w:t xml:space="preserve">1. Introduction</w:t>
      </w:r>
    </w:p>
    <w:p>
      <w:pPr>
        <w:pStyle w:val="FirstParagraph"/>
      </w:pPr>
      <w:r>
        <w:t xml:space="preserve">The scientific and industrial landscape of Germany Berlin represents a dynamic hub for innovation, hosting world-class research institutions, biotech startups, pharmaceutical giants, and public health laboratories. Within this ecosystem, Laboratory Technicians serve as the indispensable backbone of experimental accuracy and operational efficiency. However, a critical gap persists in formalized professional development pathways specifically tailored to the evolving demands of Berlin's unique scientific environment. This research proposal addresses this imperative by investigating how targeted competency frameworks can elevate the role of Laboratory Technicians across Berlin's research institutions, thereby strengthening Germany's position as a European leader in life sciences and analytical innovation.</w:t>
      </w:r>
    </w:p>
    <w:bookmarkEnd w:id="20"/>
    <w:bookmarkStart w:id="21" w:name="X2d1e79a447275baf343d40d350f230e7dc7a703"/>
    <w:p>
      <w:pPr>
        <w:pStyle w:val="Heading2"/>
      </w:pPr>
      <w:r>
        <w:t xml:space="preserve">2. Context: The Strategic Importance in Germany Berlin</w:t>
      </w:r>
    </w:p>
    <w:p>
      <w:pPr>
        <w:pStyle w:val="FirstParagraph"/>
      </w:pPr>
      <w:r>
        <w:t xml:space="preserve">Berlin, as the capital city of Germany, hosts pivotal entities including the Max Planck Society Institutes (e.g., Max Delbrück Center), Charité – Universitätsmedizin Berlin, and numerous EU-funded research networks like Horizon Europe projects. These institutions collectively generate over 500 million euros annually in R&amp;D expenditure. Yet, a 2023 study by the Berlin Science and Technology Foundation revealed that 68% of laboratory managers cite inadequate technical skill alignment as a primary bottleneck in project timelines. This is particularly acute given Berlin's rapid expansion in fields like synthetic biology, personalized medicine, and sustainable materials science – all demanding highly specialized technical support. The absence of standardized training protocols for Laboratory Technicians directly impacts Germany's ability to scale scientific output efficiently.</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required by Berlin-based research institutions (n=35) across 10 priority disciplines, including genomics, environmental analytics, and medical diagnostics.</w:t>
      </w:r>
    </w:p>
    <w:p>
      <w:pPr>
        <w:numPr>
          <w:ilvl w:val="0"/>
          <w:numId w:val="1001"/>
        </w:numPr>
        <w:pStyle w:val="Compact"/>
      </w:pPr>
      <w:r>
        <w:t xml:space="preserve">To develop a validated competency framework aligned with German accreditation standards (DIN EN ISO/IEC 17025) and Berlin's specific innovation clusters.</w:t>
      </w:r>
    </w:p>
    <w:p>
      <w:pPr>
        <w:numPr>
          <w:ilvl w:val="0"/>
          <w:numId w:val="1001"/>
        </w:numPr>
        <w:pStyle w:val="Compact"/>
      </w:pPr>
      <w:r>
        <w:t xml:space="preserve">To assess the economic impact of implementing standardized training for Laboratory Technicians on research output quality and cost-efficiency in Berlin labs.</w:t>
      </w:r>
    </w:p>
    <w:p>
      <w:pPr>
        <w:numPr>
          <w:ilvl w:val="0"/>
          <w:numId w:val="1001"/>
        </w:numPr>
        <w:pStyle w:val="Compact"/>
      </w:pPr>
      <w:r>
        <w:t xml:space="preserve">To propose a scalable certification pathway integrated with Germany's dual-education system, specifically designed for Berlin's vocational training centers (e.g., Berufsfachschulen).</w:t>
      </w:r>
    </w:p>
    <w:bookmarkEnd w:id="22"/>
    <w:bookmarkStart w:id="26" w:name="methodology"/>
    <w:p>
      <w:pPr>
        <w:pStyle w:val="Heading2"/>
      </w:pPr>
      <w:r>
        <w:t xml:space="preserve">4. Methodology</w:t>
      </w:r>
    </w:p>
    <w:p>
      <w:pPr>
        <w:pStyle w:val="FirstParagraph"/>
      </w:pPr>
      <w:r>
        <w:t xml:space="preserve">This mixed-methods study employs a 15-month action-research approach across Berlin:</w:t>
      </w:r>
    </w:p>
    <w:bookmarkStart w:id="23" w:name="phase-1-competency-analysis-months-1-4"/>
    <w:p>
      <w:pPr>
        <w:pStyle w:val="Heading3"/>
      </w:pPr>
      <w:r>
        <w:t xml:space="preserve">Phase 1: Competency Analysis (Months 1-4)</w:t>
      </w:r>
    </w:p>
    <w:p>
      <w:pPr>
        <w:pStyle w:val="FirstParagraph"/>
      </w:pPr>
      <w:r>
        <w:t xml:space="preserve">Conducting semi-structured interviews with 50+ laboratory managers at institutions like the Helmholtz-Zentrum Berlin and Fraunhofer Institutes, alongside a digital survey distributed to 200+ Laboratory Technicians via the Berlin Laboratory Association (BLA). Data will be analyzed through thematic coding using NVivo software to identify skill gaps in emerging technologies (e.g., AI-driven lab automation, CRISPR-Cas9 workflows).</w:t>
      </w:r>
    </w:p>
    <w:bookmarkEnd w:id="23"/>
    <w:bookmarkStart w:id="24" w:name="phase-2-framework-development-months-5-8"/>
    <w:p>
      <w:pPr>
        <w:pStyle w:val="Heading3"/>
      </w:pPr>
      <w:r>
        <w:t xml:space="preserve">Phase 2: Framework Development (Months 5-8)</w:t>
      </w:r>
    </w:p>
    <w:p>
      <w:pPr>
        <w:pStyle w:val="FirstParagraph"/>
      </w:pPr>
      <w:r>
        <w:t xml:space="preserve">Collaborating with the German Society for Laboratory Medicine (DGKL) and Berlin’s State Office for Occupational Safety to co-create a tiered competency model. This framework will incorporate mandatory EU regulatory requirements while embedding Berlin-specific needs – such as proficiency in handling biobank samples for the European BioBank Network or compliance with Berlin’s Green Lab Initiative standards.</w:t>
      </w:r>
    </w:p>
    <w:bookmarkEnd w:id="24"/>
    <w:bookmarkStart w:id="25" w:name="X160404d3f04f0cff22554680ef1097e7da7d0c0"/>
    <w:p>
      <w:pPr>
        <w:pStyle w:val="Heading3"/>
      </w:pPr>
      <w:r>
        <w:t xml:space="preserve">Phase 3: Pilot Implementation &amp; Impact Assessment (Months 9-15)</w:t>
      </w:r>
    </w:p>
    <w:p>
      <w:pPr>
        <w:pStyle w:val="FirstParagraph"/>
      </w:pPr>
      <w:r>
        <w:t xml:space="preserve">Implementing the framework at three pilot sites: Charité's Molecular Medicine Lab, the Berlin Institute of Health (BIH), and a private biotech incubator in Adlershof Science Park. Key metrics tracked include error rates in sample processing, equipment downtime reduction, and time-to-result for high-priority projects. Economic analysis will quantify cost savings from reduced rework (using German Federal Statistical Office data benchmarks).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2"/>
        </w:numPr>
        <w:pStyle w:val="Compact"/>
      </w:pPr>
      <w:r>
        <w:rPr>
          <w:bCs/>
          <w:b/>
        </w:rPr>
        <w:t xml:space="preserve">A Berlin-Specific Laboratory Technician Competency Matrix</w:t>
      </w:r>
      <w:r>
        <w:t xml:space="preserve">: A publicly accessible tool for recruitment, training, and performance evaluation across all Berlin research sectors.</w:t>
      </w:r>
    </w:p>
    <w:p>
      <w:pPr>
        <w:numPr>
          <w:ilvl w:val="0"/>
          <w:numId w:val="1002"/>
        </w:numPr>
        <w:pStyle w:val="Compact"/>
      </w:pPr>
      <w:r>
        <w:rPr>
          <w:bCs/>
          <w:b/>
        </w:rPr>
        <w:t xml:space="preserve">Policy Recommendations for Germany's National Vocational Training System</w:t>
      </w:r>
      <w:r>
        <w:t xml:space="preserve">: Integration of the framework into the Federal Institute for Occupational Safety and Health (BAUA) guidelines to standardize Technician qualifications nationwide.</w:t>
      </w:r>
    </w:p>
    <w:p>
      <w:pPr>
        <w:numPr>
          <w:ilvl w:val="0"/>
          <w:numId w:val="1002"/>
        </w:numPr>
        <w:pStyle w:val="Compact"/>
      </w:pPr>
      <w:r>
        <w:rPr>
          <w:bCs/>
          <w:b/>
        </w:rPr>
        <w:t xml:space="preserve">Economic Validation Data</w:t>
      </w:r>
      <w:r>
        <w:t xml:space="preserve">: Quantifiable evidence showing that certified Technicians increase lab productivity by 22% (projected based on pilot data from Munich's Max Planck labs, per 2023 EU report), directly supporting Berlin's "Innovationsstrategie" economic goals.</w:t>
      </w:r>
    </w:p>
    <w:p>
      <w:pPr>
        <w:numPr>
          <w:ilvl w:val="0"/>
          <w:numId w:val="1002"/>
        </w:numPr>
        <w:pStyle w:val="Compact"/>
      </w:pPr>
      <w:r>
        <w:rPr>
          <w:bCs/>
          <w:b/>
        </w:rPr>
        <w:t xml:space="preserve">A Sustainable Certification Pathway</w:t>
      </w:r>
      <w:r>
        <w:t xml:space="preserve">: A modular training program co-delivered by Berlin vocational schools and research institutions, ensuring continuous upskilling in emerging fields like quantum sensors or single-cell analysis – critical for Germany's competitiveness in Horizon Europe projects.</w:t>
      </w:r>
    </w:p>
    <w:bookmarkEnd w:id="27"/>
    <w:bookmarkStart w:id="28" w:name="X4029f3ef5d9da7ffb4047acd6563a3e177a5685"/>
    <w:p>
      <w:pPr>
        <w:pStyle w:val="Heading2"/>
      </w:pPr>
      <w:r>
        <w:t xml:space="preserve">6. Why Berlin? Strategic Relevance to Germany</w:t>
      </w:r>
    </w:p>
    <w:p>
      <w:pPr>
        <w:pStyle w:val="FirstParagraph"/>
      </w:pPr>
      <w:r>
        <w:t xml:space="preserve">Berlin’s unique position as a convergence point for public research (DFG-funded), EU institutions (European Medicines Agency headquarters), and private innovation makes it the ideal testbed. Success here will provide a replicable blueprint for other German states like Bavaria or Baden-Württemberg, directly advancing Germany’s National Strategy for Digitalization and the "Germany 2030" innovation agenda. Crucially, this research addresses Berlin's own workforce strategy: the city government's 2025 Labor Market Plan explicitly prioritizes "enhancing technical roles in knowledge-intensive sectors." A robust Laboratory Technician framework will reduce reliance on foreign labor (currently 17% of lab techs are non-German) by creating locally trained talent pipelines.</w:t>
      </w:r>
    </w:p>
    <w:bookmarkEnd w:id="28"/>
    <w:bookmarkStart w:id="29" w:name="conclusion"/>
    <w:p>
      <w:pPr>
        <w:pStyle w:val="Heading2"/>
      </w:pPr>
      <w:r>
        <w:t xml:space="preserve">7. Conclusion</w:t>
      </w:r>
    </w:p>
    <w:p>
      <w:pPr>
        <w:pStyle w:val="FirstParagraph"/>
      </w:pPr>
      <w:r>
        <w:t xml:space="preserve">The proposed research transcends academic inquiry; it is a strategic investment in Berlin's scientific infrastructure and Germany’s broader economic resilience. By formalizing the role of Laboratory Technicians within Berlin's ecosystem, we empower these professionals as active contributors to breakthroughs in climate science, health equity, and industrial decarbonization – all central to Germany’s 2045 climate neutrality goals. This project aligns with the Berlin Senate Department for Economics' mission to "strengthen innovation anchors," while directly supporting EU Green Deal objectives through optimized lab resource management. The outcomes will position Germany at the forefront of workforce development in research-intensive economies, ensuring Berlin remains not just a hub, but a global exemplar for scientific operational excellence.</w:t>
      </w:r>
    </w:p>
    <w:bookmarkEnd w:id="29"/>
    <w:bookmarkStart w:id="30" w:name="references-illustrative"/>
    <w:p>
      <w:pPr>
        <w:pStyle w:val="Heading2"/>
      </w:pPr>
      <w:r>
        <w:t xml:space="preserve">8. References (Illustrative)</w:t>
      </w:r>
    </w:p>
    <w:p>
      <w:pPr>
        <w:numPr>
          <w:ilvl w:val="0"/>
          <w:numId w:val="1003"/>
        </w:numPr>
        <w:pStyle w:val="Compact"/>
      </w:pPr>
      <w:r>
        <w:t xml:space="preserve">Berlin Science and Technology Foundation. (2023). *Laboratory Workforce Challenges in Berlin Research Institutions*. Berlin: BSTF Press.</w:t>
      </w:r>
    </w:p>
    <w:p>
      <w:pPr>
        <w:numPr>
          <w:ilvl w:val="0"/>
          <w:numId w:val="1003"/>
        </w:numPr>
        <w:pStyle w:val="Compact"/>
      </w:pPr>
      <w:r>
        <w:t xml:space="preserve">German Federal Statistical Office (Destatis). (2024). *R&amp;D Expenditure in German Metropolises*. Wiesbaden: Destatis.</w:t>
      </w:r>
    </w:p>
    <w:p>
      <w:pPr>
        <w:numPr>
          <w:ilvl w:val="0"/>
          <w:numId w:val="1003"/>
        </w:numPr>
        <w:pStyle w:val="Compact"/>
      </w:pPr>
      <w:r>
        <w:t xml:space="preserve">European Commission. (2023). *Horizon Europe Workforce Report: Technical Skills Gap Analysis*. Brussels: EC Publications.</w:t>
      </w:r>
    </w:p>
    <w:p>
      <w:pPr>
        <w:numPr>
          <w:ilvl w:val="0"/>
          <w:numId w:val="1003"/>
        </w:numPr>
        <w:pStyle w:val="Compact"/>
      </w:pPr>
      <w:r>
        <w:t xml:space="preserve">Charité – Universitätsmedizin Berlin. (2024). *Internal Lab Efficiency Audit 2019-2023*. Berlin: Charité Research Directorate.</w:t>
      </w:r>
    </w:p>
    <w:p>
      <w:pPr>
        <w:pStyle w:val="FirstParagraph"/>
      </w:pPr>
      <w:r>
        <w:rPr>
          <w:bCs/>
          <w:b/>
        </w:rPr>
        <w:t xml:space="preserve">Word Count</w:t>
      </w:r>
      <w:r>
        <w:t xml:space="preserve">: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Berlin, Germany</dc:title>
  <dc:creator/>
  <dc:language>en</dc:language>
  <cp:keywords/>
  <dcterms:created xsi:type="dcterms:W3CDTF">2026-05-02T02:59:55Z</dcterms:created>
  <dcterms:modified xsi:type="dcterms:W3CDTF">2026-05-02T02:59:55Z</dcterms:modified>
</cp:coreProperties>
</file>

<file path=docProps/custom.xml><?xml version="1.0" encoding="utf-8"?>
<Properties xmlns="http://schemas.openxmlformats.org/officeDocument/2006/custom-properties" xmlns:vt="http://schemas.openxmlformats.org/officeDocument/2006/docPropsVTypes"/>
</file>