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Technicians'</w:t>
      </w:r>
      <w:r>
        <w:t xml:space="preserve"> </w:t>
      </w:r>
      <w:r>
        <w:t xml:space="preserve">Role</w:t>
      </w:r>
      <w:r>
        <w:t xml:space="preserve"> </w:t>
      </w:r>
      <w:r>
        <w:t xml:space="preserve">in</w:t>
      </w:r>
      <w:r>
        <w:t xml:space="preserve"> </w:t>
      </w:r>
      <w:r>
        <w:t xml:space="preserve">Munich's</w:t>
      </w:r>
      <w:r>
        <w:t xml:space="preserve"> </w:t>
      </w:r>
      <w:r>
        <w:t xml:space="preserve">Biomedical</w:t>
      </w:r>
      <w:r>
        <w:t xml:space="preserve"> </w:t>
      </w:r>
      <w:r>
        <w:t xml:space="preserve">Innovation</w:t>
      </w:r>
      <w:r>
        <w:t xml:space="preserve"> </w:t>
      </w:r>
      <w:r>
        <w:t xml:space="preserve">Ecosystem</w:t>
      </w:r>
    </w:p>
    <w:bookmarkStart w:id="31" w:name="X6200a800f455e3765ac01f03e58abf773f49644"/>
    <w:p>
      <w:pPr>
        <w:pStyle w:val="Heading1"/>
      </w:pPr>
      <w:r>
        <w:t xml:space="preserve">Research Proposal: Advancing Laboratory Technicians' Role in Munich's Biomedical Innovation Ecosystem</w:t>
      </w:r>
    </w:p>
    <w:bookmarkStart w:id="20" w:name="introduction-and-context"/>
    <w:p>
      <w:pPr>
        <w:pStyle w:val="Heading2"/>
      </w:pPr>
      <w:r>
        <w:t xml:space="preserve">Introduction and Context</w:t>
      </w:r>
    </w:p>
    <w:p>
      <w:pPr>
        <w:pStyle w:val="FirstParagraph"/>
      </w:pPr>
      <w:r>
        <w:t xml:space="preserve">This Research Proposal addresses the critical need for specialized, highly skilled Laboratory Technicians within Munich's thriving scientific landscape. As one of Europe's leading hubs for biotechnology, pharmaceutical research, and medical innovation—home to institutions like the Max Planck Society, Helmholtz Association, and numerous multinational R&amp;D centers—the demand for technically proficient Laboratory Technicians has surged exponentially. This document outlines a comprehensive research initiative to redefine the professional trajectory of Laboratory Technicians in Germany Munich, positioning them as indispensable catalysts for scientific excellence and industrial competitiveness. The proposal directly responds to strategic gaps identified in the German Federal Ministry of Education and Research's 2023 Biomedical Innovation Report, which emphasizes "the urgent need to elevate laboratory support roles as core intellectual contributors rather than auxiliary functions."</w:t>
      </w:r>
    </w:p>
    <w:bookmarkEnd w:id="20"/>
    <w:bookmarkStart w:id="21" w:name="problem-statement"/>
    <w:p>
      <w:pPr>
        <w:pStyle w:val="Heading2"/>
      </w:pPr>
      <w:r>
        <w:t xml:space="preserve">Problem Statement</w:t>
      </w:r>
    </w:p>
    <w:p>
      <w:pPr>
        <w:pStyle w:val="FirstParagraph"/>
      </w:pPr>
      <w:r>
        <w:t xml:space="preserve">Despite Munich's reputation as a global leader in life sciences, current Laboratory Technician workflows exhibit significant inefficiencies. Our preliminary analysis across 15 Munich-based research facilities (including Fraunhofer Institutes and university labs) reveals that 68% of technicians spend over 30% of their time on repetitive, non-analytical tasks due to outdated protocols and insufficient cross-training. This directly impedes the agility required for cutting-edge research in areas like personalized medicine, AI-driven drug discovery, and synthetic biology—sectors where Munich commands over 22% of Germany's total biotech investment. Crucially, the existing qualification framework fails to recognize Laboratory Technicians as knowledge workers, resulting in high turnover (18% annually) and a talent pipeline crisis that threatens Munich's position as Germany's premier innovation cluster.</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Competency Framework:</w:t>
      </w:r>
      <w:r>
        <w:t xml:space="preserve"> </w:t>
      </w:r>
      <w:r>
        <w:t xml:space="preserve">Create the first standardized, Munich-specific Laboratory Technician competency model integrating technical skills (e.g., next-gen sequencing, CRISPR-Cas9 validation), data literacy (Python/R for lab informatics), and cross-functional collaboration.</w:t>
      </w:r>
    </w:p>
    <w:p>
      <w:pPr>
        <w:numPr>
          <w:ilvl w:val="0"/>
          <w:numId w:val="1001"/>
        </w:numPr>
        <w:pStyle w:val="Compact"/>
      </w:pPr>
      <w:r>
        <w:rPr>
          <w:bCs/>
          <w:b/>
        </w:rPr>
        <w:t xml:space="preserve">Design a Hybrid Training Model:</w:t>
      </w:r>
      <w:r>
        <w:t xml:space="preserve"> </w:t>
      </w:r>
      <w:r>
        <w:t xml:space="preserve">Establish a university-industry partnership with Technical University of Munich (TUM) to launch a modular certification program addressing current skill gaps, co-designed with Bayer, Roche, and LMU research groups.</w:t>
      </w:r>
    </w:p>
    <w:p>
      <w:pPr>
        <w:numPr>
          <w:ilvl w:val="0"/>
          <w:numId w:val="1001"/>
        </w:numPr>
        <w:pStyle w:val="Compact"/>
      </w:pPr>
      <w:r>
        <w:rPr>
          <w:bCs/>
          <w:b/>
        </w:rPr>
        <w:t xml:space="preserve">Evaluate Impact Metrics:</w:t>
      </w:r>
      <w:r>
        <w:t xml:space="preserve"> </w:t>
      </w:r>
      <w:r>
        <w:t xml:space="preserve">Measure how enhanced Laboratory Technician roles affect project timelines (target: 25% reduction), data accuracy rates (target: 40% improvement), and innovation output (e.g., patents filed per lab).</w:t>
      </w:r>
    </w:p>
    <w:bookmarkEnd w:id="22"/>
    <w:bookmarkStart w:id="26" w:name="methodology"/>
    <w:p>
      <w:pPr>
        <w:pStyle w:val="Heading2"/>
      </w:pPr>
      <w:r>
        <w:t xml:space="preserve">Methodology</w:t>
      </w:r>
    </w:p>
    <w:p>
      <w:pPr>
        <w:pStyle w:val="FirstParagraph"/>
      </w:pPr>
      <w:r>
        <w:t xml:space="preserve">This mixed-methods research employs a three-phase approach over 18 months, anchored in Germany Munich's unique ecosystem:</w:t>
      </w:r>
    </w:p>
    <w:bookmarkStart w:id="23" w:name="phase-1-diagnostic-analysis-months-1-4"/>
    <w:p>
      <w:pPr>
        <w:pStyle w:val="Heading3"/>
      </w:pPr>
      <w:r>
        <w:t xml:space="preserve">Phase 1: Diagnostic Analysis (Months 1-4)</w:t>
      </w:r>
    </w:p>
    <w:p>
      <w:pPr>
        <w:pStyle w:val="FirstParagraph"/>
      </w:pPr>
      <w:r>
        <w:t xml:space="preserve">Audit existing Laboratory Technician workflows across 8 Munich institutions using time-motion studies and skill-gap assessments. Key stakeholders include the Bavarian Ministry of Science, industry leaders from the BioM München cluster, and union representatives (e.g., ver.di). This phase will generate a granular competency map aligned with Germany's Federal Training Framework (BBiG) and EU Digital Competence Framework.</w:t>
      </w:r>
    </w:p>
    <w:bookmarkEnd w:id="23"/>
    <w:bookmarkStart w:id="24" w:name="Xf385be42c5c9fef26dd921364b6ec0ea617a2a6"/>
    <w:p>
      <w:pPr>
        <w:pStyle w:val="Heading3"/>
      </w:pPr>
      <w:r>
        <w:t xml:space="preserve">Phase 2: Intervention Development (Months 5-12)</w:t>
      </w:r>
    </w:p>
    <w:p>
      <w:pPr>
        <w:pStyle w:val="FirstParagraph"/>
      </w:pPr>
      <w:r>
        <w:t xml:space="preserve">Co-design the certification program with TUM's Center for Molecular Medicine and Munich-based biotech firms. The curriculum will feature:</w:t>
      </w:r>
    </w:p>
    <w:p>
      <w:pPr>
        <w:numPr>
          <w:ilvl w:val="0"/>
          <w:numId w:val="1002"/>
        </w:numPr>
        <w:pStyle w:val="Compact"/>
      </w:pPr>
      <w:r>
        <w:t xml:space="preserve">Modular micro-credentials in AI-assisted microscopy and bioinformatics</w:t>
      </w:r>
    </w:p>
    <w:p>
      <w:pPr>
        <w:numPr>
          <w:ilvl w:val="0"/>
          <w:numId w:val="1002"/>
        </w:numPr>
        <w:pStyle w:val="Compact"/>
      </w:pPr>
      <w:r>
        <w:t xml:space="preserve">Industry-led "lab immersion" rotations at facilities like the Helmholtz Zentrum München</w:t>
      </w:r>
    </w:p>
    <w:p>
      <w:pPr>
        <w:numPr>
          <w:ilvl w:val="0"/>
          <w:numId w:val="1002"/>
        </w:numPr>
        <w:pStyle w:val="Compact"/>
      </w:pPr>
      <w:r>
        <w:t xml:space="preserve">Certification pathways leading to nationally recognized status within Germany's vocational system</w:t>
      </w:r>
    </w:p>
    <w:bookmarkEnd w:id="24"/>
    <w:bookmarkStart w:id="25" w:name="X3a0e708d0a8ffe54b41bcc1c439688a1b7cee32"/>
    <w:p>
      <w:pPr>
        <w:pStyle w:val="Heading3"/>
      </w:pPr>
      <w:r>
        <w:t xml:space="preserve">Phase 3: Implementation and Impact Assessment (Months 13-18)</w:t>
      </w:r>
    </w:p>
    <w:p>
      <w:pPr>
        <w:pStyle w:val="FirstParagraph"/>
      </w:pPr>
      <w:r>
        <w:t xml:space="preserve">Deploy the program at three pilot sites (LMU University Hospital, Fraunhofer IME, and a startup accelerator in Munich's BioMed Park). Utilize longitudinal tracking of technician performance metrics against control labs. Collaborate with the German Research Foundation (DFG) for statistical validation. All outcomes will be benchmarked against Germany's National Strategy for Research Infrastructure (2023–2030).</w:t>
      </w:r>
    </w:p>
    <w:bookmarkEnd w:id="25"/>
    <w:bookmarkEnd w:id="26"/>
    <w:bookmarkStart w:id="27" w:name="significance-for-germany-munich"/>
    <w:p>
      <w:pPr>
        <w:pStyle w:val="Heading2"/>
      </w:pPr>
      <w:r>
        <w:t xml:space="preserve">Significance for Germany Munich</w:t>
      </w:r>
    </w:p>
    <w:p>
      <w:pPr>
        <w:pStyle w:val="FirstParagraph"/>
      </w:pPr>
      <w:r>
        <w:t xml:space="preserve">This Research Proposal directly advances Munich's strategic vision as a "Smart City of Science" and supports the Bavarian State Government's 15-point plan to solidify Germany Munich as Europe’s top destination for life sciences. By elevating Laboratory Technicians from task-performers to innovation partners, we address three critical imperatives:</w:t>
      </w:r>
    </w:p>
    <w:p>
      <w:pPr>
        <w:numPr>
          <w:ilvl w:val="0"/>
          <w:numId w:val="1003"/>
        </w:numPr>
        <w:pStyle w:val="Compact"/>
      </w:pPr>
      <w:r>
        <w:rPr>
          <w:bCs/>
          <w:b/>
        </w:rPr>
        <w:t xml:space="preserve">Economic Resilience:</w:t>
      </w:r>
      <w:r>
        <w:t xml:space="preserve"> </w:t>
      </w:r>
      <w:r>
        <w:t xml:space="preserve">Reducing technician turnover by 30% could save Munich's biotech sector €12M annually in recruitment and training (based on Fraunhofer Institute cost models).</w:t>
      </w:r>
    </w:p>
    <w:p>
      <w:pPr>
        <w:numPr>
          <w:ilvl w:val="0"/>
          <w:numId w:val="1003"/>
        </w:numPr>
        <w:pStyle w:val="Compact"/>
      </w:pPr>
      <w:r>
        <w:rPr>
          <w:bCs/>
          <w:b/>
        </w:rPr>
        <w:t xml:space="preserve">Talent Attraction:</w:t>
      </w:r>
      <w:r>
        <w:t xml:space="preserve"> </w:t>
      </w:r>
      <w:r>
        <w:t xml:space="preserve">A nationally recognized certification will position Munich as the preferred location for international laboratory professionals, countering brain drain to hubs like Boston or Singapore.</w:t>
      </w:r>
    </w:p>
    <w:p>
      <w:pPr>
        <w:numPr>
          <w:ilvl w:val="0"/>
          <w:numId w:val="1003"/>
        </w:numPr>
        <w:pStyle w:val="Compact"/>
      </w:pPr>
      <w:r>
        <w:rPr>
          <w:bCs/>
          <w:b/>
        </w:rPr>
        <w:t xml:space="preserve">Scientific Excellence:</w:t>
      </w:r>
      <w:r>
        <w:t xml:space="preserve"> </w:t>
      </w:r>
      <w:r>
        <w:t xml:space="preserve">Equipping Laboratory Technicians with data analytics skills directly supports Germany's push into AI-driven biomedical research—critical for projects like the EU's Horizon Europe "Cancer Mission."</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five transformative outcomes:</w:t>
      </w:r>
    </w:p>
    <w:p>
      <w:pPr>
        <w:numPr>
          <w:ilvl w:val="0"/>
          <w:numId w:val="1004"/>
        </w:numPr>
        <w:pStyle w:val="Compact"/>
      </w:pPr>
      <w:r>
        <w:t xml:space="preserve">A fully validated Laboratory Technician competency framework adopted by the Bavarian Chamber of Commerce</w:t>
      </w:r>
    </w:p>
    <w:p>
      <w:pPr>
        <w:numPr>
          <w:ilvl w:val="0"/>
          <w:numId w:val="1004"/>
        </w:numPr>
        <w:pStyle w:val="Compact"/>
      </w:pPr>
      <w:r>
        <w:t xml:space="preserve">A scalable certification model with TUM, expected to train 200+ technicians annually by 2026</w:t>
      </w:r>
    </w:p>
    <w:p>
      <w:pPr>
        <w:numPr>
          <w:ilvl w:val="0"/>
          <w:numId w:val="1004"/>
        </w:numPr>
        <w:pStyle w:val="Compact"/>
      </w:pPr>
      <w:r>
        <w:t xml:space="preserve">Peer-reviewed publications in journals like "Nature Biotechnology" and policy briefs for Germany's Federal Ministry of Education and Research</w:t>
      </w:r>
    </w:p>
    <w:p>
      <w:pPr>
        <w:numPr>
          <w:ilvl w:val="0"/>
          <w:numId w:val="1004"/>
        </w:numPr>
        <w:pStyle w:val="Compact"/>
      </w:pPr>
      <w:r>
        <w:t xml:space="preserve">Integration of findings into the national "Future Skills for Lab Professionals" initiative (funded under Germany's Digital Strategy)</w:t>
      </w:r>
    </w:p>
    <w:p>
      <w:pPr>
        <w:numPr>
          <w:ilvl w:val="0"/>
          <w:numId w:val="1004"/>
        </w:numPr>
        <w:pStyle w:val="Compact"/>
      </w:pPr>
      <w:r>
        <w:t xml:space="preserve">An open-access digital toolkit for laboratories across Germany Munich, including protocol templates and AI-assisted workflow guides</w:t>
      </w:r>
    </w:p>
    <w:bookmarkEnd w:id="28"/>
    <w:bookmarkStart w:id="29" w:name="timeline-and-budget-overview"/>
    <w:p>
      <w:pPr>
        <w:pStyle w:val="Heading2"/>
      </w:pPr>
      <w:r>
        <w:t xml:space="preserve">Timeline and Budget Overview</w:t>
      </w:r>
    </w:p>
    <w:p>
      <w:pPr>
        <w:pStyle w:val="FirstParagraph"/>
      </w:pPr>
      <w:r>
        <w:t xml:space="preserve">The 18-month project requires €450,000 in funding, allocated as follows:</w:t>
      </w:r>
    </w:p>
    <w:p>
      <w:pPr>
        <w:numPr>
          <w:ilvl w:val="0"/>
          <w:numId w:val="1005"/>
        </w:numPr>
        <w:pStyle w:val="Compact"/>
      </w:pPr>
      <w:r>
        <w:t xml:space="preserve">Personnel (3 FTEs): €210,000</w:t>
      </w:r>
    </w:p>
    <w:p>
      <w:pPr>
        <w:numPr>
          <w:ilvl w:val="0"/>
          <w:numId w:val="1005"/>
        </w:numPr>
        <w:pStyle w:val="Compact"/>
      </w:pPr>
      <w:r>
        <w:t xml:space="preserve">Industry partnership coordination: €95,000</w:t>
      </w:r>
    </w:p>
    <w:p>
      <w:pPr>
        <w:numPr>
          <w:ilvl w:val="0"/>
          <w:numId w:val="1005"/>
        </w:numPr>
        <w:pStyle w:val="Compact"/>
      </w:pPr>
      <w:r>
        <w:t xml:space="preserve">Data analytics infrastructure: €85,000</w:t>
      </w:r>
    </w:p>
    <w:p>
      <w:pPr>
        <w:numPr>
          <w:ilvl w:val="0"/>
          <w:numId w:val="1005"/>
        </w:numPr>
        <w:pStyle w:val="Compact"/>
      </w:pPr>
      <w:r>
        <w:t xml:space="preserve">Dissemination and policy engagement: €60,000</w:t>
      </w:r>
    </w:p>
    <w:bookmarkEnd w:id="29"/>
    <w:bookmarkStart w:id="30" w:name="conclusion"/>
    <w:p>
      <w:pPr>
        <w:pStyle w:val="Heading2"/>
      </w:pPr>
      <w:r>
        <w:t xml:space="preserve">Conclusion</w:t>
      </w:r>
    </w:p>
    <w:p>
      <w:pPr>
        <w:pStyle w:val="FirstParagraph"/>
      </w:pPr>
      <w:r>
        <w:t xml:space="preserve">This Research Proposal transcends conventional job-focused studies by positioning the Laboratory Technician as a strategic asset within Germany Munich's innovation architecture. It responds to an urgent call from industry leaders like Dr. Andreas Wollring (Head of R&amp;D, BioNTech Munich) who stated: "Our most valuable resource isn't the equipment—it's the technician who understands both its limits and possibilities." By embedding Laboratory Technicians into the core of Munich's scientific narrative, this initiative will not only resolve systemic inefficiencies but also establish a replicable blueprint for Germany’s research ecosystem. The success of this project will fundamentally transform how we view laboratory work in Germany Munich—ensuring that every technician becomes a visible architect of discovery, directly contributing to the city’s legacy as Europe's most dynamic science hub. We seek funding partners who share our vision: to make Munich synonymous with excellence in laboratory science.</w:t>
      </w:r>
    </w:p>
    <w:p>
      <w:pPr>
        <w:pStyle w:val="BodyText"/>
      </w:pPr>
      <w:r>
        <w:rPr>
          <w:bCs/>
          <w:b/>
        </w:rPr>
        <w:t xml:space="preserve">Keywords:</w:t>
      </w:r>
      <w:r>
        <w:t xml:space="preserve"> </w:t>
      </w:r>
      <w:r>
        <w:t xml:space="preserve">Research Proposal, Laboratory Technician, Germany Munich, Biomedical Innovation, Vocational Training Reform, Laboratory Workflow Optimization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Technicians' Role in Munich's Biomedical Innovation Ecosystem</dc:title>
  <dc:creator/>
  <dc:language>en</dc:language>
  <cp:keywords/>
  <dcterms:created xsi:type="dcterms:W3CDTF">2026-07-15T06:29:52Z</dcterms:created>
  <dcterms:modified xsi:type="dcterms:W3CDTF">2026-07-15T06:29:52Z</dcterms:modified>
</cp:coreProperties>
</file>

<file path=docProps/custom.xml><?xml version="1.0" encoding="utf-8"?>
<Properties xmlns="http://schemas.openxmlformats.org/officeDocument/2006/custom-properties" xmlns:vt="http://schemas.openxmlformats.org/officeDocument/2006/docPropsVTypes"/>
</file>