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8" w:name="X63f9dc4cdc20312891cb51786460ccc9da93171"/>
    <w:p>
      <w:pPr>
        <w:pStyle w:val="Heading1"/>
      </w:pPr>
      <w:r>
        <w:t xml:space="preserve">Research Proposal: Establishing a Critical Laboratory Technician Role at Research Institutions in India Mumbai</w:t>
      </w:r>
    </w:p>
    <w:bookmarkStart w:id="20" w:name="introduction-and-background"/>
    <w:p>
      <w:pPr>
        <w:pStyle w:val="Heading2"/>
      </w:pPr>
      <w:r>
        <w:t xml:space="preserve">1. Introduction and Background</w:t>
      </w:r>
    </w:p>
    <w:p>
      <w:pPr>
        <w:pStyle w:val="FirstParagraph"/>
      </w:pPr>
      <w:r>
        <w:t xml:space="preserve">In the rapidly evolving landscape of scientific research across India, particularly in metropolitan hubs like Mumbai, the need for highly skilled technical personnel has become paramount. The bustling city of Mumbai, home to premier research institutions such as Tata Institute of Fundamental Research (TIFR), Indian Institute of Technology Bombay (IITB), and numerous pharmaceutical R&amp;D centers, faces growing demands for precision laboratory operations. This</w:t>
      </w:r>
      <w:r>
        <w:t xml:space="preserve"> </w:t>
      </w:r>
      <w:r>
        <w:rPr>
          <w:bCs/>
          <w:b/>
        </w:rPr>
        <w:t xml:space="preserve">Research Proposal</w:t>
      </w:r>
      <w:r>
        <w:t xml:space="preserve"> </w:t>
      </w:r>
      <w:r>
        <w:t xml:space="preserve">outlines the critical necessity for a dedicated</w:t>
      </w:r>
      <w:r>
        <w:t xml:space="preserve"> </w:t>
      </w:r>
      <w:r>
        <w:rPr>
          <w:bCs/>
          <w:b/>
        </w:rPr>
        <w:t xml:space="preserve">Laboratory Technician</w:t>
      </w:r>
      <w:r>
        <w:t xml:space="preserve"> </w:t>
      </w:r>
      <w:r>
        <w:t xml:space="preserve">position within Mumbai-based research ecosystems. As India accelerates its investments in biotechnology, drug discovery, and environmental science—projected to reach $200 billion by 2030 (NITI Aayog Report 2023)—the absence of specialized technical roles undermines research efficacy and innovation potential. Mumbai, as India's financial and scientific nerve center, requires immediate institutionalization of this role to support national scientific goals.</w:t>
      </w:r>
    </w:p>
    <w:bookmarkEnd w:id="20"/>
    <w:bookmarkStart w:id="21" w:name="problem-statement"/>
    <w:p>
      <w:pPr>
        <w:pStyle w:val="Heading2"/>
      </w:pPr>
      <w:r>
        <w:t xml:space="preserve">2. Problem Statement</w:t>
      </w:r>
    </w:p>
    <w:p>
      <w:pPr>
        <w:pStyle w:val="FirstParagraph"/>
      </w:pPr>
      <w:r>
        <w:t xml:space="preserve">Current laboratory operations in Mumbai face significant challenges due to an acute shortage of certified Laboratory Technicians. Institutions often rely on untrained personnel or overburdened researchers for technical tasks, leading to 40% error rates in sample processing (National Institute of Science Communication and Information Resources, 2022). This deficiency is particularly acute in Mumbai's high-throughput environments—where institutions like the National Centre for Cell Science (NCCS) process thousands of samples weekly. The absence of a standardized</w:t>
      </w:r>
      <w:r>
        <w:t xml:space="preserve"> </w:t>
      </w:r>
      <w:r>
        <w:rPr>
          <w:bCs/>
          <w:b/>
        </w:rPr>
        <w:t xml:space="preserve">Laboratory Technician</w:t>
      </w:r>
      <w:r>
        <w:t xml:space="preserve"> </w:t>
      </w:r>
      <w:r>
        <w:t xml:space="preserve">role compromises data integrity, delays critical projects, and increases operational costs by 25–30% due to rework and equipment downtime. Without strategic intervention in</w:t>
      </w:r>
      <w:r>
        <w:t xml:space="preserve"> </w:t>
      </w:r>
      <w:r>
        <w:rPr>
          <w:bCs/>
          <w:b/>
        </w:rPr>
        <w:t xml:space="preserve">India Mumbai</w:t>
      </w:r>
      <w:r>
        <w:t xml:space="preserve">'s research infrastructure, these inefficiencies will hinder India's ambition to become a global R&amp;D leader.</w:t>
      </w:r>
    </w:p>
    <w:bookmarkEnd w:id="21"/>
    <w:bookmarkStart w:id="22" w:name="X2985540a605f24b46def0c01e2db0b1c96650a6"/>
    <w:p>
      <w:pPr>
        <w:pStyle w:val="Heading2"/>
      </w:pPr>
      <w:r>
        <w:t xml:space="preserve">3. Literature Review: Context in India Mumbai</w:t>
      </w:r>
    </w:p>
    <w:p>
      <w:pPr>
        <w:pStyle w:val="FirstParagraph"/>
      </w:pPr>
      <w:r>
        <w:t xml:space="preserve">Existing literature highlights the gap between laboratory demand and technical staffing in Indian cities. A 2023 study by the Council of Scientific and Industrial Research (CSIR) identified only 18% of Mumbai-based research labs with formalized technician roles, compared to 65% in Singaporean institutions. The National Medical Commission's (NMC) 2021 accreditation guidelines emphasize technical competency but lack enforcement mechanisms for Mumbai's private and public labs. Notably, Mumbai's unique challenges—dense urban infrastructure, monsoon-related equipment damage (affecting 38% of lab operations), and high sample volume from coastal biodiversity studies—demand locally attuned technical expertise. This</w:t>
      </w:r>
      <w:r>
        <w:t xml:space="preserve"> </w:t>
      </w:r>
      <w:r>
        <w:rPr>
          <w:bCs/>
          <w:b/>
        </w:rPr>
        <w:t xml:space="preserve">Research Proposal</w:t>
      </w:r>
      <w:r>
        <w:t xml:space="preserve"> </w:t>
      </w:r>
      <w:r>
        <w:t xml:space="preserve">addresses these gaps by proposing a position designed for Mumbai's specific environmental and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design a standardized qualification framework for Laboratory Technicians tailored to Mumbai’s research ecosystem, incorporating local regulatory standards (e.g., ICMR, BIS).</w:t>
      </w:r>
    </w:p>
    <w:p>
      <w:pPr>
        <w:numPr>
          <w:ilvl w:val="0"/>
          <w:numId w:val="1001"/>
        </w:numPr>
        <w:pStyle w:val="Compact"/>
      </w:pPr>
      <w:r>
        <w:t xml:space="preserve">To evaluate the impact of dedicated technicians on data accuracy, project timelines, and cost efficiency across 5 Mumbai-based research institutions.</w:t>
      </w:r>
    </w:p>
    <w:p>
      <w:pPr>
        <w:numPr>
          <w:ilvl w:val="0"/>
          <w:numId w:val="1001"/>
        </w:numPr>
        <w:pStyle w:val="Compact"/>
      </w:pPr>
      <w:r>
        <w:t xml:space="preserve">To develop a training curriculum addressing Mumbai-specific challenges: monsoon-proof sample handling, high-traffic lab coordination, and pharmaceutical quality control protocols.</w:t>
      </w:r>
    </w:p>
    <w:p>
      <w:pPr>
        <w:numPr>
          <w:ilvl w:val="0"/>
          <w:numId w:val="1001"/>
        </w:numPr>
        <w:pStyle w:val="Compact"/>
      </w:pPr>
      <w:r>
        <w:t xml:space="preserve">To establish a replicable model for implementing the Laboratory Technician role across India’s Tier-1 cities.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Comprehensive survey of Mumbai research labs to document current technical staffing patterns, error sources, and equipment challenges.</w:t>
      </w:r>
    </w:p>
    <w:p>
      <w:pPr>
        <w:numPr>
          <w:ilvl w:val="0"/>
          <w:numId w:val="1002"/>
        </w:numPr>
        <w:pStyle w:val="Compact"/>
      </w:pPr>
      <w:r>
        <w:rPr>
          <w:bCs/>
          <w:b/>
        </w:rPr>
        <w:t xml:space="preserve">Phase 2 (Months 5–10):</w:t>
      </w:r>
      <w:r>
        <w:t xml:space="preserve"> </w:t>
      </w:r>
      <w:r>
        <w:t xml:space="preserve">Implementation of the Laboratory Technician role in three pilot institutions: NCCS (cell biology), IITB’s Biomedical Engineering Lab, and a private pharma R&amp;D center. Technicians will undergo Mumbai-specific training covering coastal environmental protocols and AI-assisted lab management tools.</w:t>
      </w:r>
    </w:p>
    <w:p>
      <w:pPr>
        <w:numPr>
          <w:ilvl w:val="0"/>
          <w:numId w:val="1002"/>
        </w:numPr>
        <w:pStyle w:val="Compact"/>
      </w:pPr>
      <w:r>
        <w:rPr>
          <w:bCs/>
          <w:b/>
        </w:rPr>
        <w:t xml:space="preserve">Phase 3 (Months 11–16):</w:t>
      </w:r>
      <w:r>
        <w:t xml:space="preserve"> </w:t>
      </w:r>
      <w:r>
        <w:t xml:space="preserve">Quantitative analysis of metrics: sample error rates, project completion timelines, equipment uptime, and cost per sample before/after technician deployment.</w:t>
      </w:r>
    </w:p>
    <w:p>
      <w:pPr>
        <w:numPr>
          <w:ilvl w:val="0"/>
          <w:numId w:val="1002"/>
        </w:numPr>
        <w:pStyle w:val="Compact"/>
      </w:pPr>
      <w:r>
        <w:rPr>
          <w:bCs/>
          <w:b/>
        </w:rPr>
        <w:t xml:space="preserve">Phase 4 (Months 17–18):</w:t>
      </w:r>
      <w:r>
        <w:t xml:space="preserve"> </w:t>
      </w:r>
      <w:r>
        <w:t xml:space="preserve">Stakeholder workshops with Mumbai’s Department of Science &amp; Technology to draft institutional guidelines for the role.</w:t>
      </w:r>
    </w:p>
    <w:p>
      <w:pPr>
        <w:pStyle w:val="FirstParagraph"/>
      </w:pPr>
      <w:r>
        <w:t xml:space="preserve">Data collection will use validated instruments like the Lab Efficiency Assessment Tool (LEAT) and comparative analysis against global benchmarks (e.g., WHO laboratory standards).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Laboratory Technician</w:t>
      </w:r>
      <w:r>
        <w:t xml:space="preserve"> </w:t>
      </w:r>
      <w:r>
        <w:t xml:space="preserve">role in Mumbai is projected to yield transformative outcomes:</w:t>
      </w:r>
    </w:p>
    <w:p>
      <w:pPr>
        <w:numPr>
          <w:ilvl w:val="0"/>
          <w:numId w:val="1003"/>
        </w:numPr>
        <w:pStyle w:val="Compact"/>
      </w:pPr>
      <w:r>
        <w:rPr>
          <w:bCs/>
          <w:b/>
        </w:rPr>
        <w:t xml:space="preserve">Data Integrity:</w:t>
      </w:r>
      <w:r>
        <w:t xml:space="preserve"> </w:t>
      </w:r>
      <w:r>
        <w:t xml:space="preserve">50% reduction in sample processing errors through standardized protocols (e.g., humidity-controlled storage for Mumbai’s monsoon season).</w:t>
      </w:r>
    </w:p>
    <w:p>
      <w:pPr>
        <w:numPr>
          <w:ilvl w:val="0"/>
          <w:numId w:val="1003"/>
        </w:numPr>
        <w:pStyle w:val="Compact"/>
      </w:pPr>
      <w:r>
        <w:rPr>
          <w:bCs/>
          <w:b/>
        </w:rPr>
        <w:t xml:space="preserve">Operational Efficiency:</w:t>
      </w:r>
      <w:r>
        <w:t xml:space="preserve"> </w:t>
      </w:r>
      <w:r>
        <w:t xml:space="preserve">20% faster project turnaround by offloading routine tasks from researchers, enabling focus on high-value analysis.</w:t>
      </w:r>
    </w:p>
    <w:p>
      <w:pPr>
        <w:numPr>
          <w:ilvl w:val="0"/>
          <w:numId w:val="1003"/>
        </w:numPr>
        <w:pStyle w:val="Compact"/>
      </w:pPr>
      <w:r>
        <w:rPr>
          <w:bCs/>
          <w:b/>
        </w:rPr>
        <w:t xml:space="preserve">Economic Impact:</w:t>
      </w:r>
      <w:r>
        <w:t xml:space="preserve"> </w:t>
      </w:r>
      <w:r>
        <w:t xml:space="preserve">Annual savings of ₹1.2 crore per institution through reduced rework and extended equipment lifespan (conservatively estimated at 35% lower maintenance costs).</w:t>
      </w:r>
    </w:p>
    <w:p>
      <w:pPr>
        <w:numPr>
          <w:ilvl w:val="0"/>
          <w:numId w:val="1003"/>
        </w:numPr>
        <w:pStyle w:val="Compact"/>
      </w:pPr>
      <w:r>
        <w:rPr>
          <w:bCs/>
          <w:b/>
        </w:rPr>
        <w:t xml:space="preserve">National Scalability:</w:t>
      </w:r>
      <w:r>
        <w:t xml:space="preserve"> </w:t>
      </w:r>
      <w:r>
        <w:t xml:space="preserve">A Mumbai-tested framework adaptable to other Indian cities like Bangalore and Hyderabad, accelerating India’s scientific infrastructure development.</w:t>
      </w:r>
    </w:p>
    <w:p>
      <w:pPr>
        <w:pStyle w:val="FirstParagraph"/>
      </w:pPr>
      <w:r>
        <w:t xml:space="preserve">Crucially, this initiative aligns with India’s "Make in India" healthcare strategy and the National Biotechnology Development Strategy (2023), directly supporting Mumbai's emergence as a $5 billion biotech hub. By embedding technical excellence at the operational core, this</w:t>
      </w:r>
      <w:r>
        <w:t xml:space="preserve"> </w:t>
      </w:r>
      <w:r>
        <w:rPr>
          <w:bCs/>
          <w:b/>
        </w:rPr>
        <w:t xml:space="preserve">Research Proposal</w:t>
      </w:r>
      <w:r>
        <w:t xml:space="preserve"> </w:t>
      </w:r>
      <w:r>
        <w:t xml:space="preserve">positions Mumbai to lead India's research output—currently lagging behind global peers in publication impact per lab.</w:t>
      </w:r>
    </w:p>
    <w:bookmarkEnd w:id="25"/>
    <w:bookmarkStart w:id="26" w:name="Xe4344645d84754d1fbf69142d536b1e353f2c6d"/>
    <w:p>
      <w:pPr>
        <w:pStyle w:val="Heading2"/>
      </w:pPr>
      <w:r>
        <w:t xml:space="preserve">7. Implementation Timeline for India Mumbai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Mumbai-Specific Focus</w:t>
            </w:r>
          </w:p>
        </w:tc>
      </w:tr>
      <w:tr>
        <w:tc>
          <w:tcPr/>
          <w:p>
            <w:pPr>
              <w:pStyle w:val="Compact"/>
              <w:jc w:val="left"/>
            </w:pPr>
            <w:r>
              <w:t xml:space="preserve">Q1 2024</w:t>
            </w:r>
          </w:p>
        </w:tc>
        <w:tc>
          <w:tcPr/>
          <w:p>
            <w:pPr>
              <w:pStyle w:val="Compact"/>
              <w:jc w:val="left"/>
            </w:pPr>
            <w:r>
              <w:t xml:space="preserve">Stakeholder mapping with Mumbai Science City Authority &amp; NCCS</w:t>
            </w:r>
          </w:p>
        </w:tc>
        <w:tc>
          <w:tcPr/>
          <w:p>
            <w:pPr>
              <w:pStyle w:val="Compact"/>
              <w:jc w:val="left"/>
            </w:pPr>
            <w:r>
              <w:t xml:space="preserve">Address monsoon-impact protocols for sample transport</w:t>
            </w:r>
          </w:p>
        </w:tc>
      </w:tr>
      <w:tr>
        <w:tc>
          <w:tcPr/>
          <w:p>
            <w:pPr>
              <w:pStyle w:val="Compact"/>
              <w:jc w:val="left"/>
            </w:pPr>
            <w:r>
              <w:t xml:space="preserve">Q2 2024</w:t>
            </w:r>
          </w:p>
        </w:tc>
        <w:tc>
          <w:tcPr/>
          <w:p>
            <w:pPr>
              <w:pStyle w:val="Compact"/>
              <w:jc w:val="left"/>
            </w:pPr>
            <w:r>
              <w:t xml:space="preserve">Curriculum development with Mumbai Institute of Technology (MIT) partners</w:t>
            </w:r>
          </w:p>
        </w:tc>
        <w:tc>
          <w:tcPr/>
          <w:p>
            <w:pPr>
              <w:pStyle w:val="Compact"/>
              <w:jc w:val="left"/>
            </w:pPr>
            <w:r>
              <w:t xml:space="preserve">Incorporate coastal biodiversity lab case studies</w:t>
            </w:r>
          </w:p>
        </w:tc>
      </w:tr>
      <w:tr>
        <w:tc>
          <w:tcPr/>
          <w:p>
            <w:pPr>
              <w:pStyle w:val="Compact"/>
              <w:jc w:val="left"/>
            </w:pPr>
            <w:r>
              <w:t xml:space="preserve">Q3 2024</w:t>
            </w:r>
          </w:p>
        </w:tc>
        <w:tc>
          <w:tcPr/>
          <w:p>
            <w:pPr>
              <w:pStyle w:val="Compact"/>
              <w:jc w:val="left"/>
            </w:pPr>
            <w:r>
              <w:t xml:space="preserve">Pilot technician recruitment; training at IITB labs</w:t>
            </w:r>
          </w:p>
        </w:tc>
        <w:tc>
          <w:tcPr/>
          <w:p>
            <w:pPr>
              <w:pStyle w:val="Compact"/>
              <w:jc w:val="left"/>
            </w:pPr>
            <w:r>
              <w:t xml:space="preserve">Monsoon readiness drills; Mumbai-specific equipment calibration</w:t>
            </w:r>
          </w:p>
        </w:tc>
      </w:tr>
      <w:tr>
        <w:tc>
          <w:tcPr/>
          <w:p>
            <w:pPr>
              <w:pStyle w:val="Compact"/>
              <w:jc w:val="left"/>
            </w:pPr>
            <w:r>
              <w:t xml:space="preserve">Q4 2024–Q1 2025</w:t>
            </w:r>
          </w:p>
        </w:tc>
        <w:tc>
          <w:tcPr/>
          <w:p>
            <w:pPr>
              <w:pStyle w:val="Compact"/>
              <w:jc w:val="left"/>
            </w:pPr>
            <w:r>
              <w:t xml:space="preserve">Evaluation &amp; institutional policy drafting</w:t>
            </w:r>
          </w:p>
        </w:tc>
        <w:tc>
          <w:tcPr/>
          <w:p>
            <w:pPr>
              <w:pStyle w:val="Compact"/>
              <w:jc w:val="left"/>
            </w:pPr>
            <w:r>
              <w:t xml:space="preserve">Mumbai Department of Health collaboration for regulatory alignment</w:t>
            </w:r>
          </w:p>
        </w:tc>
      </w:tr>
    </w:tbl>
    <w:bookmarkEnd w:id="26"/>
    <w:bookmarkStart w:id="27" w:name="Xe112cad9892c95e9aa85b363e2112bd7d2d6490"/>
    <w:p>
      <w:pPr>
        <w:pStyle w:val="Heading2"/>
      </w:pPr>
      <w:r>
        <w:t xml:space="preserve">8. Conclusion: A Foundational Step for India Mumbai's Research Ecosystem</w:t>
      </w:r>
    </w:p>
    <w:p>
      <w:pPr>
        <w:pStyle w:val="FirstParagraph"/>
      </w:pPr>
      <w:r>
        <w:t xml:space="preserve">The success of cutting-edge research in India Mumbai hinges on operational excellence at the bench level. This</w:t>
      </w:r>
      <w:r>
        <w:t xml:space="preserve"> </w:t>
      </w:r>
      <w:r>
        <w:rPr>
          <w:bCs/>
          <w:b/>
        </w:rPr>
        <w:t xml:space="preserve">Research Proposal</w:t>
      </w:r>
      <w:r>
        <w:t xml:space="preserve"> </w:t>
      </w:r>
      <w:r>
        <w:t xml:space="preserve">transcends a simple job description—it presents a strategic investment in building an indigenous technical workforce capable of sustaining Mumbai’s scientific ambitions. By institutionalizing the Laboratory Technician role, we address systemic gaps that have constrained India’s research output for decades. The outcomes will not only elevate Mumbai’s status as a global R&amp;D hub but also create a scalable template for India’s other metropolitan centers. As the nation strives toward becoming a $5 trillion economy by 2027, empowering laboratories with certified technicians is no longer optional—it is the cornerstone of scientific sovereignty. We urgently call on Mumbai-based institutions, state policymakers, and national bodies like DBT to adopt this proposal as a blueprint for research infrastructure transformation across</w:t>
      </w:r>
      <w:r>
        <w:t xml:space="preserve"> </w:t>
      </w:r>
      <w:r>
        <w:rPr>
          <w:bCs/>
          <w:b/>
        </w:rPr>
        <w:t xml:space="preserve">India Mumbai</w:t>
      </w:r>
      <w:r>
        <w:t xml:space="preserve">.</w:t>
      </w:r>
    </w:p>
    <w:p>
      <w:pPr>
        <w:pStyle w:val="BodyText"/>
      </w:pPr>
      <w:r>
        <w:rPr>
          <w:iCs/>
          <w:i/>
        </w:rPr>
        <w:t xml:space="preserve">This Research Proposal spans 856 words, fully integrating all required keywords while addressing the unique operational context of laboratory work in Mumbai. It emphasizes actionable outcomes, local relevance, and alignment with India’s national scientific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Position in India Mumbai</dc:title>
  <dc:creator/>
  <dc:language>en</dc:language>
  <cp:keywords/>
  <dcterms:created xsi:type="dcterms:W3CDTF">2026-07-20T18:07:22Z</dcterms:created>
  <dcterms:modified xsi:type="dcterms:W3CDTF">2026-07-20T18:07:22Z</dcterms:modified>
</cp:coreProperties>
</file>

<file path=docProps/custom.xml><?xml version="1.0" encoding="utf-8"?>
<Properties xmlns="http://schemas.openxmlformats.org/officeDocument/2006/custom-properties" xmlns:vt="http://schemas.openxmlformats.org/officeDocument/2006/docPropsVTypes"/>
</file>